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294CA">
      <w:pPr>
        <w:rPr>
          <w:rFonts w:hint="eastAsia"/>
          <w:sz w:val="24"/>
          <w:highlight w:val="none"/>
        </w:rPr>
      </w:pPr>
      <w:r>
        <w:rPr>
          <w:rFonts w:hint="eastAsia" w:ascii="仿宋_GB2312" w:hAnsi="宋体" w:eastAsia="仿宋_GB2312" w:cs="Times New Roman"/>
          <w:sz w:val="32"/>
          <w:szCs w:val="32"/>
          <w:highlight w:val="none"/>
          <w:lang w:eastAsia="zh-CN"/>
        </w:rPr>
        <w:t>附件</w:t>
      </w:r>
      <w:r>
        <w:rPr>
          <w:rFonts w:hint="eastAsia" w:ascii="仿宋_GB2312" w:hAnsi="宋体" w:eastAsia="仿宋_GB2312" w:cs="Times New Roman"/>
          <w:sz w:val="32"/>
          <w:szCs w:val="32"/>
          <w:highlight w:val="none"/>
          <w:lang w:val="en-US" w:eastAsia="zh-CN"/>
        </w:rPr>
        <w:t>1</w:t>
      </w:r>
    </w:p>
    <w:p w14:paraId="3E3DA4F9">
      <w:pPr>
        <w:spacing w:line="560" w:lineRule="exact"/>
        <w:jc w:val="center"/>
        <w:rPr>
          <w:rFonts w:ascii="方正小标宋简体" w:eastAsia="方正小标宋简体"/>
          <w:sz w:val="44"/>
          <w:szCs w:val="44"/>
          <w:highlight w:val="none"/>
        </w:rPr>
      </w:pPr>
      <w:r>
        <w:rPr>
          <w:sz w:val="24"/>
          <w:highlight w:val="none"/>
        </w:rPr>
        <w:tab/>
      </w:r>
      <w:r>
        <w:rPr>
          <w:rFonts w:hint="eastAsia" w:ascii="方正小标宋简体" w:eastAsia="方正小标宋简体"/>
          <w:sz w:val="44"/>
          <w:szCs w:val="44"/>
          <w:highlight w:val="none"/>
        </w:rPr>
        <w:t>龙岩</w:t>
      </w:r>
      <w:r>
        <w:rPr>
          <w:rFonts w:hint="eastAsia" w:ascii="方正小标宋简体" w:eastAsia="方正小标宋简体"/>
          <w:sz w:val="44"/>
          <w:szCs w:val="44"/>
          <w:highlight w:val="none"/>
          <w:lang w:val="en-US" w:eastAsia="zh-CN"/>
        </w:rPr>
        <w:t>市</w:t>
      </w:r>
      <w:r>
        <w:rPr>
          <w:rFonts w:hint="eastAsia" w:ascii="方正小标宋简体" w:eastAsia="方正小标宋简体"/>
          <w:sz w:val="44"/>
          <w:szCs w:val="44"/>
          <w:highlight w:val="none"/>
        </w:rPr>
        <w:t>投资</w:t>
      </w:r>
      <w:r>
        <w:rPr>
          <w:rFonts w:hint="eastAsia" w:ascii="方正小标宋简体" w:eastAsia="方正小标宋简体"/>
          <w:sz w:val="44"/>
          <w:szCs w:val="44"/>
          <w:highlight w:val="none"/>
          <w:lang w:val="en-US" w:eastAsia="zh-CN"/>
        </w:rPr>
        <w:t>开发</w:t>
      </w:r>
      <w:r>
        <w:rPr>
          <w:rFonts w:hint="eastAsia" w:ascii="方正小标宋简体" w:eastAsia="方正小标宋简体"/>
          <w:sz w:val="44"/>
          <w:szCs w:val="44"/>
          <w:highlight w:val="none"/>
        </w:rPr>
        <w:t>集团有限公司</w:t>
      </w:r>
    </w:p>
    <w:p w14:paraId="2BCAA30F">
      <w:pPr>
        <w:spacing w:line="560" w:lineRule="exact"/>
        <w:jc w:val="center"/>
        <w:rPr>
          <w:rFonts w:hint="eastAsia" w:ascii="方正小标宋简体" w:eastAsia="方正小标宋简体"/>
          <w:spacing w:val="-20"/>
          <w:sz w:val="44"/>
          <w:szCs w:val="44"/>
          <w:highlight w:val="none"/>
        </w:rPr>
      </w:pPr>
      <w:r>
        <w:rPr>
          <w:rFonts w:hint="eastAsia" w:ascii="方正小标宋简体" w:eastAsia="方正小标宋简体"/>
          <w:spacing w:val="-20"/>
          <w:sz w:val="44"/>
          <w:szCs w:val="44"/>
          <w:highlight w:val="none"/>
        </w:rPr>
        <w:t>关于202</w:t>
      </w:r>
      <w:r>
        <w:rPr>
          <w:rFonts w:hint="eastAsia" w:ascii="方正小标宋简体" w:eastAsia="方正小标宋简体"/>
          <w:spacing w:val="-20"/>
          <w:sz w:val="44"/>
          <w:szCs w:val="44"/>
          <w:highlight w:val="none"/>
          <w:lang w:val="en-US" w:eastAsia="zh-CN"/>
        </w:rPr>
        <w:t>6</w:t>
      </w:r>
      <w:r>
        <w:rPr>
          <w:rFonts w:hint="eastAsia" w:ascii="方正小标宋简体" w:eastAsia="方正小标宋简体"/>
          <w:spacing w:val="-20"/>
          <w:sz w:val="44"/>
          <w:szCs w:val="44"/>
          <w:highlight w:val="none"/>
        </w:rPr>
        <w:t>年度注册</w:t>
      </w:r>
      <w:r>
        <w:rPr>
          <w:rFonts w:hint="eastAsia" w:ascii="方正小标宋简体" w:hAnsi="Times New Roman" w:eastAsia="方正小标宋简体" w:cs="Times New Roman"/>
          <w:spacing w:val="-20"/>
          <w:sz w:val="44"/>
          <w:szCs w:val="44"/>
          <w:highlight w:val="none"/>
          <w:lang w:val="en-US" w:eastAsia="zh-CN"/>
        </w:rPr>
        <w:t>定向债务融资工具</w:t>
      </w:r>
      <w:r>
        <w:rPr>
          <w:rFonts w:hint="eastAsia" w:ascii="方正小标宋简体" w:eastAsia="方正小标宋简体"/>
          <w:spacing w:val="-20"/>
          <w:sz w:val="44"/>
          <w:szCs w:val="44"/>
          <w:highlight w:val="none"/>
        </w:rPr>
        <w:t>的方案</w:t>
      </w:r>
    </w:p>
    <w:p w14:paraId="10B514C7">
      <w:pPr>
        <w:spacing w:line="600" w:lineRule="exact"/>
        <w:ind w:firstLine="640" w:firstLineChars="200"/>
        <w:rPr>
          <w:rFonts w:hint="eastAsia" w:ascii="黑体" w:eastAsia="黑体"/>
          <w:sz w:val="32"/>
          <w:szCs w:val="32"/>
          <w:highlight w:val="none"/>
        </w:rPr>
      </w:pPr>
    </w:p>
    <w:p w14:paraId="72823926">
      <w:pPr>
        <w:spacing w:line="600" w:lineRule="exact"/>
        <w:ind w:firstLine="640" w:firstLineChars="200"/>
        <w:rPr>
          <w:rFonts w:hint="eastAsia" w:ascii="黑体" w:hAnsi="Times New Roman" w:eastAsia="黑体" w:cs="Times New Roman"/>
          <w:sz w:val="32"/>
          <w:szCs w:val="32"/>
          <w:highlight w:val="none"/>
        </w:rPr>
      </w:pPr>
      <w:r>
        <w:rPr>
          <w:rFonts w:hint="eastAsia" w:ascii="黑体" w:hAnsi="Times New Roman" w:eastAsia="黑体" w:cs="Times New Roman"/>
          <w:sz w:val="32"/>
          <w:szCs w:val="32"/>
          <w:highlight w:val="none"/>
          <w:lang w:val="en-US" w:eastAsia="zh-CN"/>
        </w:rPr>
        <w:t>一</w:t>
      </w:r>
      <w:r>
        <w:rPr>
          <w:rFonts w:hint="eastAsia" w:ascii="黑体" w:hAnsi="Times New Roman" w:eastAsia="黑体" w:cs="Times New Roman"/>
          <w:sz w:val="32"/>
          <w:szCs w:val="32"/>
          <w:highlight w:val="none"/>
        </w:rPr>
        <w:t>、初评比选办法</w:t>
      </w:r>
    </w:p>
    <w:p w14:paraId="157871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采用综合评分法，取评审工作小组人员评分的算术平均值，按得分由高到低顺序排列</w:t>
      </w:r>
      <w:r>
        <w:rPr>
          <w:rFonts w:hint="eastAsia" w:ascii="仿宋_GB2312" w:eastAsia="仿宋_GB2312"/>
          <w:sz w:val="32"/>
          <w:szCs w:val="32"/>
          <w:highlight w:val="none"/>
          <w:lang w:eastAsia="zh-CN"/>
        </w:rPr>
        <w:t>，</w:t>
      </w:r>
      <w:r>
        <w:rPr>
          <w:rFonts w:ascii="仿宋_GB2312" w:eastAsia="仿宋_GB2312"/>
          <w:sz w:val="32"/>
          <w:szCs w:val="32"/>
          <w:highlight w:val="none"/>
        </w:rPr>
        <w:t>选取排名前</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名</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联合体</w:t>
      </w:r>
      <w:r>
        <w:rPr>
          <w:rFonts w:hint="eastAsia" w:ascii="仿宋_GB2312" w:eastAsia="仿宋_GB2312"/>
          <w:sz w:val="32"/>
          <w:szCs w:val="32"/>
          <w:highlight w:val="none"/>
          <w:lang w:eastAsia="zh-CN"/>
        </w:rPr>
        <w:t>）</w:t>
      </w:r>
      <w:r>
        <w:rPr>
          <w:rFonts w:ascii="仿宋_GB2312" w:eastAsia="仿宋_GB2312"/>
          <w:sz w:val="32"/>
          <w:szCs w:val="32"/>
          <w:highlight w:val="none"/>
        </w:rPr>
        <w:t>的</w:t>
      </w:r>
      <w:r>
        <w:rPr>
          <w:rFonts w:hint="eastAsia" w:ascii="仿宋_GB2312" w:eastAsia="仿宋_GB2312"/>
          <w:sz w:val="32"/>
          <w:szCs w:val="32"/>
          <w:highlight w:val="none"/>
          <w:lang w:val="en-US" w:eastAsia="zh-CN"/>
        </w:rPr>
        <w:t>金融</w:t>
      </w:r>
      <w:r>
        <w:rPr>
          <w:rFonts w:hint="eastAsia" w:ascii="仿宋_GB2312" w:eastAsia="仿宋_GB2312"/>
          <w:sz w:val="32"/>
          <w:szCs w:val="32"/>
          <w:highlight w:val="none"/>
        </w:rPr>
        <w:t>机构</w:t>
      </w:r>
      <w:r>
        <w:rPr>
          <w:rFonts w:ascii="仿宋_GB2312" w:eastAsia="仿宋_GB2312"/>
          <w:sz w:val="32"/>
          <w:szCs w:val="32"/>
          <w:highlight w:val="none"/>
        </w:rPr>
        <w:t>作为企业初步选定的融资合作候选对象。</w:t>
      </w:r>
      <w:r>
        <w:rPr>
          <w:rFonts w:hint="eastAsia" w:ascii="仿宋_GB2312" w:eastAsia="仿宋_GB2312"/>
          <w:sz w:val="32"/>
          <w:szCs w:val="32"/>
          <w:highlight w:val="none"/>
          <w:lang w:eastAsia="zh-CN"/>
        </w:rPr>
        <w:t>如</w:t>
      </w:r>
      <w:r>
        <w:rPr>
          <w:rFonts w:ascii="仿宋_GB2312" w:eastAsia="仿宋_GB2312"/>
          <w:sz w:val="32"/>
          <w:szCs w:val="32"/>
          <w:highlight w:val="none"/>
        </w:rPr>
        <w:t>得分相同的，按</w:t>
      </w:r>
      <w:r>
        <w:rPr>
          <w:rFonts w:hint="eastAsia" w:ascii="仿宋_GB2312" w:eastAsia="仿宋_GB2312"/>
          <w:sz w:val="32"/>
          <w:szCs w:val="32"/>
          <w:highlight w:val="none"/>
        </w:rPr>
        <w:t>承销</w:t>
      </w:r>
      <w:r>
        <w:rPr>
          <w:rFonts w:ascii="仿宋_GB2312" w:eastAsia="仿宋_GB2312"/>
          <w:sz w:val="32"/>
          <w:szCs w:val="32"/>
          <w:highlight w:val="none"/>
        </w:rPr>
        <w:t>费率报价得分由</w:t>
      </w:r>
      <w:r>
        <w:rPr>
          <w:rFonts w:hint="eastAsia" w:ascii="仿宋_GB2312" w:eastAsia="仿宋_GB2312"/>
          <w:sz w:val="32"/>
          <w:szCs w:val="32"/>
          <w:highlight w:val="none"/>
        </w:rPr>
        <w:t>高</w:t>
      </w:r>
      <w:r>
        <w:rPr>
          <w:rFonts w:ascii="仿宋_GB2312" w:eastAsia="仿宋_GB2312"/>
          <w:sz w:val="32"/>
          <w:szCs w:val="32"/>
          <w:highlight w:val="none"/>
        </w:rPr>
        <w:t>到</w:t>
      </w:r>
      <w:r>
        <w:rPr>
          <w:rFonts w:hint="eastAsia" w:ascii="仿宋_GB2312" w:eastAsia="仿宋_GB2312"/>
          <w:sz w:val="32"/>
          <w:szCs w:val="32"/>
          <w:highlight w:val="none"/>
        </w:rPr>
        <w:t>低</w:t>
      </w:r>
      <w:r>
        <w:rPr>
          <w:rFonts w:ascii="仿宋_GB2312" w:eastAsia="仿宋_GB2312"/>
          <w:sz w:val="32"/>
          <w:szCs w:val="32"/>
          <w:highlight w:val="none"/>
        </w:rPr>
        <w:t>顺序排列；得分且</w:t>
      </w:r>
      <w:r>
        <w:rPr>
          <w:rFonts w:hint="eastAsia" w:ascii="仿宋_GB2312" w:eastAsia="仿宋_GB2312"/>
          <w:sz w:val="32"/>
          <w:szCs w:val="32"/>
          <w:highlight w:val="none"/>
        </w:rPr>
        <w:t>承销</w:t>
      </w:r>
      <w:r>
        <w:rPr>
          <w:rFonts w:ascii="仿宋_GB2312" w:eastAsia="仿宋_GB2312"/>
          <w:sz w:val="32"/>
          <w:szCs w:val="32"/>
          <w:highlight w:val="none"/>
        </w:rPr>
        <w:t>费率报价得分相同的，按融资效率得分由高到低顺序排列。评分</w:t>
      </w:r>
      <w:r>
        <w:rPr>
          <w:rFonts w:hint="eastAsia" w:ascii="仿宋_GB2312" w:eastAsia="仿宋_GB2312"/>
          <w:sz w:val="32"/>
          <w:szCs w:val="32"/>
          <w:highlight w:val="none"/>
          <w:lang w:eastAsia="zh-CN"/>
        </w:rPr>
        <w:t>结果</w:t>
      </w:r>
      <w:r>
        <w:rPr>
          <w:rFonts w:ascii="仿宋_GB2312" w:eastAsia="仿宋_GB2312"/>
          <w:sz w:val="32"/>
          <w:szCs w:val="32"/>
          <w:highlight w:val="none"/>
        </w:rPr>
        <w:t>采用四舍五入法，并保留小数点后2位。</w:t>
      </w:r>
    </w:p>
    <w:p w14:paraId="610A97E8">
      <w:pPr>
        <w:keepNext/>
        <w:spacing w:line="600" w:lineRule="exact"/>
        <w:ind w:firstLine="640" w:firstLineChars="200"/>
        <w:rPr>
          <w:rFonts w:hint="eastAsia" w:ascii="黑体" w:hAnsi="Times New Roman" w:eastAsia="黑体" w:cs="Times New Roman"/>
          <w:sz w:val="32"/>
          <w:szCs w:val="32"/>
          <w:lang w:val="en-US" w:eastAsia="zh-CN"/>
        </w:rPr>
      </w:pPr>
      <w:r>
        <w:rPr>
          <w:rFonts w:hint="eastAsia" w:ascii="黑体" w:hAnsi="Times New Roman" w:eastAsia="黑体" w:cs="Times New Roman"/>
          <w:sz w:val="32"/>
          <w:szCs w:val="32"/>
          <w:lang w:val="en-US" w:eastAsia="zh-CN"/>
        </w:rPr>
        <w:t>二、评分标准（总分100分）</w:t>
      </w:r>
    </w:p>
    <w:p w14:paraId="7408FF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sz w:val="32"/>
          <w:szCs w:val="32"/>
          <w:highlight w:val="none"/>
        </w:rPr>
      </w:pPr>
      <w:r>
        <w:rPr>
          <w:rFonts w:hint="eastAsia" w:ascii="仿宋_GB2312" w:eastAsia="仿宋_GB2312"/>
          <w:sz w:val="32"/>
          <w:szCs w:val="32"/>
          <w:lang w:val="en-US" w:eastAsia="zh-CN"/>
        </w:rPr>
        <w:t>以下评分分值根据牵头主承销商的情况进行评分，联席承销商不纳入评分。</w:t>
      </w:r>
    </w:p>
    <w:p w14:paraId="53FD450A">
      <w:pPr>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（一）</w:t>
      </w:r>
      <w:r>
        <w:rPr>
          <w:rFonts w:hint="eastAsia" w:ascii="仿宋_GB2312" w:eastAsia="仿宋_GB2312"/>
          <w:b/>
          <w:sz w:val="32"/>
          <w:szCs w:val="32"/>
          <w:lang w:val="en-US" w:eastAsia="zh-CN"/>
        </w:rPr>
        <w:t>承销商实力</w:t>
      </w:r>
      <w:r>
        <w:rPr>
          <w:rFonts w:hint="eastAsia" w:ascii="仿宋_GB2312" w:eastAsia="仿宋_GB2312"/>
          <w:b/>
          <w:sz w:val="32"/>
          <w:szCs w:val="32"/>
          <w:highlight w:val="none"/>
        </w:rPr>
        <w:t>（5分）</w:t>
      </w:r>
    </w:p>
    <w:p w14:paraId="46BB61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各</w:t>
      </w:r>
      <w:r>
        <w:rPr>
          <w:rFonts w:hint="eastAsia" w:ascii="仿宋_GB2312" w:hAnsi="Times New Roman" w:eastAsia="仿宋_GB2312" w:cs="Times New Roman"/>
          <w:sz w:val="32"/>
          <w:szCs w:val="32"/>
          <w:highlight w:val="none"/>
          <w:lang w:val="en-US" w:eastAsia="zh-CN"/>
        </w:rPr>
        <w:t>金融</w:t>
      </w:r>
      <w:r>
        <w:rPr>
          <w:rFonts w:hint="eastAsia" w:ascii="仿宋_GB2312" w:hAnsi="Times New Roman" w:eastAsia="仿宋_GB2312" w:cs="Times New Roman"/>
          <w:sz w:val="32"/>
          <w:szCs w:val="32"/>
          <w:highlight w:val="none"/>
        </w:rPr>
        <w:t>机构在融资发行方案中应提供相应的资质证明。</w:t>
      </w:r>
    </w:p>
    <w:p w14:paraId="5440535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val="en-US" w:eastAsia="zh-CN"/>
        </w:rPr>
        <w:t>可以在银行间债券市场从事全部类别债务融资工具主承销业务，应具备</w:t>
      </w:r>
      <w:r>
        <w:rPr>
          <w:rFonts w:hint="eastAsia" w:ascii="仿宋_GB2312" w:hAnsi="Times New Roman" w:eastAsia="仿宋_GB2312" w:cs="Times New Roman"/>
          <w:sz w:val="32"/>
          <w:szCs w:val="32"/>
          <w:highlight w:val="none"/>
        </w:rPr>
        <w:t>《中国银行间市场交易商协会非金融企业债务融资工具承销业务相关会员市场评价规则（2023版）》</w:t>
      </w:r>
      <w:r>
        <w:rPr>
          <w:rFonts w:hint="eastAsia" w:ascii="仿宋_GB2312" w:hAnsi="Times New Roman" w:eastAsia="仿宋_GB2312" w:cs="Times New Roman"/>
          <w:sz w:val="32"/>
          <w:szCs w:val="32"/>
          <w:highlight w:val="none"/>
          <w:lang w:val="en-US" w:eastAsia="zh-CN"/>
        </w:rPr>
        <w:t>规定的</w:t>
      </w:r>
      <w:r>
        <w:rPr>
          <w:rFonts w:hint="eastAsia" w:ascii="仿宋_GB2312" w:hAnsi="Times New Roman" w:eastAsia="仿宋_GB2312" w:cs="Times New Roman"/>
          <w:sz w:val="32"/>
          <w:szCs w:val="32"/>
          <w:highlight w:val="none"/>
        </w:rPr>
        <w:t>主承销类会员</w:t>
      </w:r>
      <w:r>
        <w:rPr>
          <w:rFonts w:hint="eastAsia" w:ascii="仿宋_GB2312" w:hAnsi="Times New Roman" w:eastAsia="仿宋_GB2312" w:cs="Times New Roman"/>
          <w:sz w:val="32"/>
          <w:szCs w:val="32"/>
          <w:highlight w:val="none"/>
          <w:lang w:val="en-US" w:eastAsia="zh-CN"/>
        </w:rPr>
        <w:t>中的</w:t>
      </w:r>
      <w:r>
        <w:rPr>
          <w:rFonts w:hint="eastAsia" w:ascii="仿宋_GB2312" w:hAnsi="Times New Roman" w:eastAsia="仿宋_GB2312" w:cs="Times New Roman"/>
          <w:sz w:val="32"/>
          <w:szCs w:val="32"/>
          <w:highlight w:val="none"/>
        </w:rPr>
        <w:t>一般主承销类会员</w:t>
      </w:r>
      <w:r>
        <w:rPr>
          <w:rFonts w:hint="eastAsia" w:ascii="仿宋_GB2312" w:hAnsi="Times New Roman" w:eastAsia="仿宋_GB2312" w:cs="Times New Roman"/>
          <w:sz w:val="32"/>
          <w:szCs w:val="32"/>
          <w:highlight w:val="none"/>
          <w:lang w:val="en-US" w:eastAsia="zh-CN"/>
        </w:rPr>
        <w:t>资格，且上一年度日常评价结果为合格，A档得5分，B档得4分，C档得3分。</w:t>
      </w:r>
    </w:p>
    <w:p w14:paraId="45DEF40E">
      <w:pPr>
        <w:spacing w:line="600" w:lineRule="exact"/>
        <w:ind w:firstLine="643" w:firstLineChars="200"/>
        <w:rPr>
          <w:rFonts w:ascii="仿宋_GB2312" w:eastAsia="仿宋_GB2312"/>
          <w:b/>
          <w:sz w:val="32"/>
          <w:szCs w:val="32"/>
          <w:highlight w:val="none"/>
        </w:rPr>
      </w:pPr>
      <w:r>
        <w:rPr>
          <w:rFonts w:hint="eastAsia" w:ascii="仿宋_GB2312" w:eastAsia="仿宋_GB2312"/>
          <w:b/>
          <w:sz w:val="32"/>
          <w:szCs w:val="32"/>
          <w:highlight w:val="none"/>
        </w:rPr>
        <w:t>（二）融资成本（</w:t>
      </w:r>
      <w:r>
        <w:rPr>
          <w:rFonts w:hint="eastAsia" w:ascii="仿宋_GB2312" w:eastAsia="仿宋_GB2312"/>
          <w:b/>
          <w:sz w:val="32"/>
          <w:szCs w:val="32"/>
          <w:highlight w:val="none"/>
          <w:lang w:val="en-US" w:eastAsia="zh-CN"/>
        </w:rPr>
        <w:t>35</w:t>
      </w:r>
      <w:r>
        <w:rPr>
          <w:rFonts w:hint="eastAsia" w:ascii="仿宋_GB2312" w:eastAsia="仿宋_GB2312"/>
          <w:b/>
          <w:sz w:val="32"/>
          <w:szCs w:val="32"/>
          <w:highlight w:val="none"/>
        </w:rPr>
        <w:t>分）</w:t>
      </w:r>
    </w:p>
    <w:p w14:paraId="53861C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各</w:t>
      </w:r>
      <w:r>
        <w:rPr>
          <w:rFonts w:hint="eastAsia" w:ascii="仿宋_GB2312" w:eastAsia="仿宋_GB2312"/>
          <w:sz w:val="32"/>
          <w:szCs w:val="32"/>
          <w:highlight w:val="none"/>
          <w:lang w:val="en-US" w:eastAsia="zh-CN"/>
        </w:rPr>
        <w:t>金融</w:t>
      </w:r>
      <w:r>
        <w:rPr>
          <w:rFonts w:hint="eastAsia" w:ascii="仿宋_GB2312" w:eastAsia="仿宋_GB2312"/>
          <w:sz w:val="32"/>
          <w:szCs w:val="32"/>
          <w:highlight w:val="none"/>
        </w:rPr>
        <w:t>机构在融资方案中应对</w:t>
      </w:r>
      <w:r>
        <w:rPr>
          <w:rFonts w:hint="eastAsia" w:ascii="仿宋_GB2312" w:hAnsi="宋体" w:eastAsia="仿宋_GB2312" w:cs="宋体"/>
          <w:sz w:val="32"/>
          <w:szCs w:val="32"/>
          <w:lang w:eastAsia="zh-CN"/>
        </w:rPr>
        <w:t>定向债务融资工具</w:t>
      </w:r>
      <w:r>
        <w:rPr>
          <w:rFonts w:hint="eastAsia" w:ascii="仿宋_GB2312" w:eastAsia="仿宋_GB2312"/>
          <w:sz w:val="32"/>
          <w:szCs w:val="32"/>
          <w:highlight w:val="none"/>
        </w:rPr>
        <w:t>提供融资成本说明，包括但不限于承销费率、支付方式等影响综合融资成本的因素。</w:t>
      </w:r>
    </w:p>
    <w:p w14:paraId="5A78A195">
      <w:pPr>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1.承销费率以年化率/千分比进行报价（</w:t>
      </w:r>
      <w:r>
        <w:rPr>
          <w:rFonts w:hint="eastAsia" w:ascii="仿宋_GB2312" w:eastAsia="仿宋_GB2312"/>
          <w:sz w:val="32"/>
          <w:szCs w:val="32"/>
          <w:highlight w:val="none"/>
          <w:lang w:val="en-US" w:eastAsia="zh-CN"/>
        </w:rPr>
        <w:t>30</w:t>
      </w:r>
      <w:r>
        <w:rPr>
          <w:rFonts w:hint="eastAsia" w:ascii="仿宋_GB2312" w:eastAsia="仿宋_GB2312"/>
          <w:sz w:val="32"/>
          <w:szCs w:val="32"/>
          <w:highlight w:val="none"/>
        </w:rPr>
        <w:t>分）。承销费率有效报价区间为0.5‰/年-1.</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‰/年，（含0.5‰/年及1.</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‰/年、超出作废）；价格评分的计算方法如下：所有满足债券发行要求的金融机构初选申报承销费率的平均值下浮10%（即承销费率平均值的90%）为评分基准价，申报承销费率与基准价相同为满分，即3</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分。高出或低出部分计算方法：将申报承销费率与基准价的差异率放大10倍，高出部分采用多</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倍扣分，低出部分同倍扣分</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扣完</w:t>
      </w:r>
      <w:r>
        <w:rPr>
          <w:rFonts w:hint="eastAsia" w:ascii="仿宋_GB2312" w:eastAsia="仿宋_GB2312"/>
          <w:sz w:val="32"/>
          <w:szCs w:val="32"/>
          <w:highlight w:val="none"/>
          <w:lang w:val="en-US" w:eastAsia="zh-CN"/>
        </w:rPr>
        <w:t>30</w:t>
      </w:r>
      <w:r>
        <w:rPr>
          <w:rFonts w:hint="eastAsia" w:ascii="仿宋_GB2312" w:eastAsia="仿宋_GB2312"/>
          <w:sz w:val="32"/>
          <w:szCs w:val="32"/>
          <w:highlight w:val="none"/>
        </w:rPr>
        <w:t>分为止。</w:t>
      </w:r>
    </w:p>
    <w:p w14:paraId="7FAE70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申报承销费与基准价的差异率=（承销费率-基准价）/基准价；</w:t>
      </w:r>
    </w:p>
    <w:p w14:paraId="4F4448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高出部分扣分数=差异率</w:t>
      </w:r>
      <w:r>
        <w:rPr>
          <w:rFonts w:ascii="Arial" w:hAnsi="Arial" w:eastAsia="仿宋_GB2312" w:cs="Arial"/>
          <w:sz w:val="32"/>
          <w:szCs w:val="32"/>
          <w:highlight w:val="none"/>
        </w:rPr>
        <w:t>×</w:t>
      </w:r>
      <w:r>
        <w:rPr>
          <w:rFonts w:hint="eastAsia" w:ascii="仿宋_GB2312" w:eastAsia="仿宋_GB2312"/>
          <w:sz w:val="32"/>
          <w:szCs w:val="32"/>
          <w:highlight w:val="none"/>
          <w:lang w:val="en-US" w:eastAsia="zh-CN"/>
        </w:rPr>
        <w:t>11</w:t>
      </w:r>
      <w:r>
        <w:rPr>
          <w:rFonts w:hint="eastAsia" w:ascii="仿宋_GB2312" w:eastAsia="仿宋_GB2312"/>
          <w:sz w:val="32"/>
          <w:szCs w:val="32"/>
          <w:highlight w:val="none"/>
        </w:rPr>
        <w:t>；</w:t>
      </w:r>
    </w:p>
    <w:p w14:paraId="000C8D8C">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低出部分扣分数=差异率</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绝对值</w:t>
      </w:r>
      <w:r>
        <w:rPr>
          <w:rFonts w:hint="eastAsia" w:ascii="仿宋_GB2312" w:eastAsia="仿宋_GB2312"/>
          <w:sz w:val="32"/>
          <w:szCs w:val="32"/>
          <w:highlight w:val="none"/>
          <w:lang w:eastAsia="zh-CN"/>
        </w:rPr>
        <w:t>）</w:t>
      </w:r>
      <w:r>
        <w:rPr>
          <w:rFonts w:ascii="Arial" w:hAnsi="Arial" w:eastAsia="仿宋_GB2312" w:cs="Arial"/>
          <w:sz w:val="32"/>
          <w:szCs w:val="32"/>
          <w:highlight w:val="none"/>
        </w:rPr>
        <w:t>×</w:t>
      </w:r>
      <w:r>
        <w:rPr>
          <w:rFonts w:hint="eastAsia" w:ascii="仿宋_GB2312" w:eastAsia="仿宋_GB2312"/>
          <w:sz w:val="32"/>
          <w:szCs w:val="32"/>
          <w:highlight w:val="none"/>
        </w:rPr>
        <w:t>10。</w:t>
      </w:r>
    </w:p>
    <w:p w14:paraId="5B530E6C">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rPr>
        <w:t>2.固定承销费支付方式（5分）：同意分期支付得5分，否则不得分。</w:t>
      </w:r>
    </w:p>
    <w:p w14:paraId="668C511C">
      <w:pPr>
        <w:spacing w:line="600" w:lineRule="exact"/>
        <w:ind w:firstLine="643" w:firstLineChars="200"/>
        <w:rPr>
          <w:rFonts w:ascii="仿宋_GB2312" w:eastAsia="仿宋_GB2312"/>
          <w:b/>
          <w:sz w:val="32"/>
          <w:szCs w:val="32"/>
        </w:rPr>
      </w:pPr>
      <w:r>
        <w:rPr>
          <w:rFonts w:hint="eastAsia" w:ascii="仿宋_GB2312" w:eastAsia="仿宋_GB2312"/>
          <w:b/>
          <w:sz w:val="32"/>
          <w:szCs w:val="32"/>
        </w:rPr>
        <w:t>（三）</w:t>
      </w:r>
      <w:r>
        <w:rPr>
          <w:rFonts w:hint="eastAsia" w:ascii="仿宋_GB2312" w:eastAsia="仿宋_GB2312"/>
          <w:b/>
          <w:sz w:val="32"/>
          <w:szCs w:val="32"/>
          <w:lang w:val="en-US" w:eastAsia="zh-CN"/>
        </w:rPr>
        <w:t>融资效率</w:t>
      </w:r>
      <w:r>
        <w:rPr>
          <w:rFonts w:hint="eastAsia" w:ascii="仿宋_GB2312" w:eastAsia="仿宋_GB2312"/>
          <w:b/>
          <w:sz w:val="32"/>
          <w:szCs w:val="32"/>
        </w:rPr>
        <w:t>（</w:t>
      </w:r>
      <w:r>
        <w:rPr>
          <w:rFonts w:hint="eastAsia" w:ascii="仿宋_GB2312" w:eastAsia="仿宋_GB2312"/>
          <w:b/>
          <w:sz w:val="32"/>
          <w:szCs w:val="32"/>
          <w:lang w:val="en-US" w:eastAsia="zh-CN"/>
        </w:rPr>
        <w:t>27</w:t>
      </w:r>
      <w:r>
        <w:rPr>
          <w:rFonts w:hint="eastAsia" w:ascii="仿宋_GB2312" w:eastAsia="仿宋_GB2312"/>
          <w:b/>
          <w:sz w:val="32"/>
          <w:szCs w:val="32"/>
        </w:rPr>
        <w:t>分）</w:t>
      </w:r>
    </w:p>
    <w:p w14:paraId="5C215CE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仿宋_GB2312" w:hAnsi="Times New Roman" w:eastAsia="仿宋_GB2312" w:cs="Times New Roman"/>
          <w:sz w:val="32"/>
          <w:szCs w:val="32"/>
          <w:lang w:val="en-US" w:eastAsia="zh-CN"/>
        </w:rPr>
        <w:t>办理时限</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分）：各金融机构在债券融资发行方案中明确从项目启动到具备发行条件的时间安排的时效性及合理性。</w:t>
      </w:r>
    </w:p>
    <w:p w14:paraId="4879E5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2.融资保障措施</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8分</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是否有余额包销承诺</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5分</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和</w:t>
      </w:r>
      <w:r>
        <w:rPr>
          <w:rFonts w:hint="eastAsia" w:ascii="仿宋_GB2312" w:eastAsia="仿宋_GB2312" w:cs="Times New Roman"/>
          <w:sz w:val="32"/>
          <w:szCs w:val="32"/>
          <w:lang w:eastAsia="zh-CN"/>
        </w:rPr>
        <w:t>其他</w:t>
      </w:r>
      <w:r>
        <w:rPr>
          <w:rFonts w:hint="eastAsia" w:ascii="仿宋_GB2312" w:hAnsi="Times New Roman" w:eastAsia="仿宋_GB2312" w:cs="Times New Roman"/>
          <w:sz w:val="32"/>
          <w:szCs w:val="32"/>
        </w:rPr>
        <w:t>保障措施</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3分</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。其他保障措施即</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金融机构自身投债比例、可协调的投债资源等。</w:t>
      </w:r>
    </w:p>
    <w:p w14:paraId="736A99C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3.服务能力和沟通能力</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12分</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团队实力</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3分，项目总负责人或总协调人应具有同类债券申报发行成功案例</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承诺提供专业服务内容、增值服务内容</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3分</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产品发行</w:t>
      </w:r>
      <w:r>
        <w:rPr>
          <w:rFonts w:hint="eastAsia" w:ascii="仿宋_GB2312" w:eastAsia="仿宋_GB2312" w:cs="Times New Roman"/>
          <w:sz w:val="32"/>
          <w:szCs w:val="32"/>
          <w:lang w:val="en-US" w:eastAsia="zh-CN"/>
        </w:rPr>
        <w:t>后续</w:t>
      </w:r>
      <w:r>
        <w:rPr>
          <w:rFonts w:hint="eastAsia" w:ascii="仿宋_GB2312" w:hAnsi="Times New Roman" w:eastAsia="仿宋_GB2312" w:cs="Times New Roman"/>
          <w:sz w:val="32"/>
          <w:szCs w:val="32"/>
          <w:lang w:val="en-US" w:eastAsia="zh-CN"/>
        </w:rPr>
        <w:t>服务方案</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 xml:space="preserve">4分，应列明存续期服务承诺，如涉及召开债券持有人会议的服务承诺 </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沟通能力</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2分，能较好地与审批机构沟通</w:t>
      </w:r>
      <w:r>
        <w:rPr>
          <w:rFonts w:hint="eastAsia" w:ascii="仿宋_GB2312" w:eastAsia="仿宋_GB2312" w:cs="Times New Roman"/>
          <w:sz w:val="32"/>
          <w:szCs w:val="32"/>
          <w:lang w:val="en-US" w:eastAsia="zh-CN"/>
        </w:rPr>
        <w:t>）</w:t>
      </w:r>
      <w:r>
        <w:rPr>
          <w:rFonts w:hint="eastAsia" w:ascii="仿宋_GB2312" w:hAnsi="Times New Roman" w:eastAsia="仿宋_GB2312" w:cs="Times New Roman"/>
          <w:sz w:val="32"/>
          <w:szCs w:val="32"/>
          <w:lang w:val="en-US" w:eastAsia="zh-CN"/>
        </w:rPr>
        <w:t>。</w:t>
      </w:r>
    </w:p>
    <w:p w14:paraId="37B9A50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hAnsi="Times New Roman" w:eastAsia="仿宋_GB2312" w:cs="Times New Roman"/>
          <w:sz w:val="32"/>
          <w:szCs w:val="32"/>
          <w:lang w:val="en-US" w:eastAsia="zh-CN"/>
        </w:rPr>
        <w:t>4.方案整体评价（5分）：金融机构报送的方案与企业提出指标应答的完整性，各项要求的合理性等情况。</w:t>
      </w:r>
    </w:p>
    <w:p w14:paraId="4713D7B9">
      <w:pPr>
        <w:spacing w:line="600" w:lineRule="exact"/>
        <w:ind w:firstLine="643" w:firstLineChars="200"/>
        <w:rPr>
          <w:rFonts w:ascii="仿宋_GB2312" w:eastAsia="仿宋_GB2312"/>
          <w:b/>
          <w:sz w:val="32"/>
          <w:szCs w:val="32"/>
        </w:rPr>
      </w:pPr>
      <w:r>
        <w:rPr>
          <w:rFonts w:hint="eastAsia" w:ascii="仿宋_GB2312" w:eastAsia="仿宋_GB2312"/>
          <w:b/>
          <w:sz w:val="32"/>
          <w:szCs w:val="32"/>
        </w:rPr>
        <w:t>（四）</w:t>
      </w:r>
      <w:r>
        <w:rPr>
          <w:rFonts w:hint="eastAsia" w:ascii="仿宋_GB2312" w:eastAsia="仿宋_GB2312"/>
          <w:b/>
          <w:sz w:val="32"/>
          <w:szCs w:val="32"/>
          <w:lang w:val="en-US" w:eastAsia="zh-CN"/>
        </w:rPr>
        <w:t>债券承销业绩</w:t>
      </w:r>
      <w:r>
        <w:rPr>
          <w:rFonts w:hint="eastAsia" w:ascii="仿宋_GB2312" w:eastAsia="仿宋_GB2312"/>
          <w:b/>
          <w:sz w:val="32"/>
          <w:szCs w:val="32"/>
        </w:rPr>
        <w:t>（</w:t>
      </w:r>
      <w:r>
        <w:rPr>
          <w:rFonts w:hint="eastAsia" w:ascii="仿宋_GB2312" w:eastAsia="仿宋_GB2312"/>
          <w:b/>
          <w:sz w:val="32"/>
          <w:szCs w:val="32"/>
          <w:lang w:val="en-US" w:eastAsia="zh-CN"/>
        </w:rPr>
        <w:t>13</w:t>
      </w:r>
      <w:r>
        <w:rPr>
          <w:rFonts w:ascii="仿宋_GB2312" w:eastAsia="仿宋_GB2312"/>
          <w:b/>
          <w:sz w:val="32"/>
          <w:szCs w:val="32"/>
        </w:rPr>
        <w:t>分）</w:t>
      </w:r>
    </w:p>
    <w:p w14:paraId="02B7E6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全国债券承销只数排名</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3分</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根据上一年度及当年截至评选上一月底同主体评级地方国有企业同品种债券在全国发行只数从高到低依次排名</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wind口径</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，排名第一得3分，每下降一名减 0.5 分，扣减至0分为止。</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上年度得分权重为40%，当年得分权重为60%。</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无承销只数不得分。</w:t>
      </w:r>
    </w:p>
    <w:p w14:paraId="197A6F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全国债券承销金额排名</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3分</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根据上一年度及当年截至评选上一月底同主体评级地方国有企业同品种债券在全国发行承销总额从高到低依次排名</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wind口径</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，排名第一得3分，每下降一名减 0.5 分，扣减至0分为止。</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上年度得分权重为40%，当年得分权重为60%。</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无承销金额不得分。</w:t>
      </w:r>
    </w:p>
    <w:p w14:paraId="1DC4C4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福建省债券承销只数排</w:t>
      </w:r>
      <w:r>
        <w:rPr>
          <w:rFonts w:hint="eastAsia" w:ascii="仿宋_GB2312" w:hAnsi="Times New Roman" w:eastAsia="仿宋_GB2312" w:cs="Times New Roman"/>
          <w:sz w:val="32"/>
          <w:szCs w:val="32"/>
          <w:highlight w:val="none"/>
        </w:rPr>
        <w:t>名</w:t>
      </w:r>
      <w:r>
        <w:rPr>
          <w:rFonts w:hint="eastAsia" w:ascii="仿宋_GB2312" w:eastAsia="仿宋_GB2312" w:cs="Times New Roman"/>
          <w:sz w:val="32"/>
          <w:szCs w:val="32"/>
          <w:highlight w:val="none"/>
          <w:lang w:eastAsia="zh-CN"/>
        </w:rPr>
        <w:t>（</w:t>
      </w:r>
      <w:r>
        <w:rPr>
          <w:rFonts w:hint="eastAsia" w:ascii="仿宋_GB2312" w:hAnsi="Times New Roman" w:eastAsia="仿宋_GB2312" w:cs="Times New Roman"/>
          <w:sz w:val="32"/>
          <w:szCs w:val="32"/>
          <w:highlight w:val="none"/>
          <w:lang w:val="en-US" w:eastAsia="zh-CN"/>
        </w:rPr>
        <w:t>4</w:t>
      </w:r>
      <w:r>
        <w:rPr>
          <w:rFonts w:hint="eastAsia" w:ascii="仿宋_GB2312" w:hAnsi="Times New Roman" w:eastAsia="仿宋_GB2312" w:cs="Times New Roman"/>
          <w:sz w:val="32"/>
          <w:szCs w:val="32"/>
          <w:highlight w:val="none"/>
        </w:rPr>
        <w:t>分</w:t>
      </w:r>
      <w:r>
        <w:rPr>
          <w:rFonts w:hint="eastAsia" w:ascii="仿宋_GB2312"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根据</w:t>
      </w:r>
      <w:r>
        <w:rPr>
          <w:rFonts w:hint="eastAsia" w:ascii="仿宋_GB2312" w:hAnsi="Times New Roman" w:eastAsia="仿宋_GB2312" w:cs="Times New Roman"/>
          <w:sz w:val="32"/>
          <w:szCs w:val="32"/>
        </w:rPr>
        <w:t>上一年度及当年截至评选上一月底同主体评级地方国有企业同品种债券在福建省发行只数从高到低依次排名</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wind口径</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，排名第一得</w:t>
      </w: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分，每下降一名减 0.5 分，扣减至0分为止。</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上年度得分权重为40%，当年得分权重为60%。</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无承销只数不得分。</w:t>
      </w:r>
    </w:p>
    <w:p w14:paraId="797DCB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sz w:val="32"/>
          <w:szCs w:val="32"/>
        </w:rPr>
      </w:pPr>
      <w:r>
        <w:rPr>
          <w:rFonts w:hint="eastAsia" w:ascii="仿宋_GB2312" w:hAnsi="Times New Roman" w:eastAsia="仿宋_GB2312" w:cs="Times New Roman"/>
          <w:sz w:val="32"/>
          <w:szCs w:val="32"/>
        </w:rPr>
        <w:t>福建省债券承销金额排名</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3分</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根据上一年度及当年截至评选上一月底同主体评级地方国有企业同品种债券在福建省发行承销总额从高到低依次排名</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wind口径</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，排名第一得3分，每下降一名减0.5分，扣减至0分为止。</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上年度得分权重为40%</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当年得分权重为60%。</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无承销金额不得分。</w:t>
      </w:r>
    </w:p>
    <w:p w14:paraId="1EA77483">
      <w:pPr>
        <w:spacing w:line="600" w:lineRule="exact"/>
        <w:ind w:firstLine="643" w:firstLineChars="200"/>
        <w:rPr>
          <w:rFonts w:hint="default" w:ascii="仿宋_GB2312" w:eastAsia="仿宋_GB2312"/>
          <w:b/>
          <w:sz w:val="32"/>
          <w:szCs w:val="32"/>
          <w:lang w:val="en-US" w:eastAsia="zh-CN"/>
        </w:rPr>
      </w:pPr>
      <w:r>
        <w:rPr>
          <w:rFonts w:hint="eastAsia" w:ascii="仿宋_GB2312" w:eastAsia="仿宋_GB2312"/>
          <w:b/>
          <w:sz w:val="32"/>
          <w:szCs w:val="32"/>
        </w:rPr>
        <w:t>（五）</w:t>
      </w:r>
      <w:r>
        <w:rPr>
          <w:rFonts w:hint="eastAsia" w:ascii="仿宋_GB2312" w:eastAsia="仿宋_GB2312"/>
          <w:b/>
          <w:sz w:val="32"/>
          <w:szCs w:val="32"/>
          <w:lang w:val="en-US" w:eastAsia="zh-CN"/>
        </w:rPr>
        <w:t>合作后评价（20分）</w:t>
      </w:r>
    </w:p>
    <w:p w14:paraId="13259C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hint="eastAsia" w:ascii="Times New Roman" w:hAnsi="Times New Roman" w:eastAsia="仿宋_GB2312"/>
          <w:sz w:val="32"/>
          <w:szCs w:val="24"/>
        </w:rPr>
        <w:t>根据</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与</w:t>
      </w:r>
      <w:r>
        <w:rPr>
          <w:rFonts w:hint="eastAsia" w:ascii="Times New Roman" w:hAnsi="Times New Roman" w:eastAsia="仿宋_GB2312"/>
          <w:sz w:val="32"/>
          <w:szCs w:val="24"/>
          <w:lang w:eastAsia="zh-CN"/>
        </w:rPr>
        <w:t>各</w:t>
      </w:r>
      <w:r>
        <w:rPr>
          <w:rFonts w:hint="eastAsia" w:ascii="Times New Roman" w:hAnsi="Times New Roman" w:eastAsia="仿宋_GB2312"/>
          <w:sz w:val="32"/>
          <w:szCs w:val="24"/>
        </w:rPr>
        <w:t>金融机构合作</w:t>
      </w:r>
      <w:r>
        <w:rPr>
          <w:rFonts w:hint="eastAsia" w:ascii="Times New Roman" w:hAnsi="Times New Roman" w:eastAsia="仿宋_GB2312"/>
          <w:sz w:val="32"/>
          <w:szCs w:val="24"/>
          <w:lang w:eastAsia="zh-CN"/>
        </w:rPr>
        <w:t>债券</w:t>
      </w:r>
      <w:r>
        <w:rPr>
          <w:rFonts w:hint="eastAsia" w:ascii="Times New Roman" w:hAnsi="Times New Roman" w:eastAsia="仿宋_GB2312"/>
          <w:sz w:val="32"/>
          <w:szCs w:val="24"/>
        </w:rPr>
        <w:t>情况进行评分，</w:t>
      </w:r>
      <w:r>
        <w:rPr>
          <w:rFonts w:hint="eastAsia" w:eastAsia="仿宋_GB2312"/>
          <w:sz w:val="32"/>
          <w:szCs w:val="24"/>
          <w:lang w:eastAsia="zh-CN"/>
        </w:rPr>
        <w:t>分为</w:t>
      </w:r>
      <w:r>
        <w:rPr>
          <w:rFonts w:hint="eastAsia" w:ascii="Times New Roman" w:hAnsi="Times New Roman" w:eastAsia="仿宋_GB2312"/>
          <w:sz w:val="32"/>
          <w:szCs w:val="24"/>
        </w:rPr>
        <w:t>基础评分和直接加减分两部分。</w:t>
      </w:r>
    </w:p>
    <w:p w14:paraId="5513F2D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lang w:val="en-US" w:eastAsia="zh-CN"/>
        </w:rPr>
      </w:pPr>
      <w:r>
        <w:rPr>
          <w:rFonts w:hint="eastAsia" w:ascii="仿宋_GB2312" w:hAnsi="宋体" w:eastAsia="仿宋_GB2312" w:cs="仿宋_GB2312"/>
          <w:color w:val="000000"/>
          <w:sz w:val="32"/>
          <w:szCs w:val="32"/>
          <w:lang w:val="en-US" w:eastAsia="zh-CN"/>
        </w:rPr>
        <w:t xml:space="preserve">基础评分（5分） </w:t>
      </w:r>
    </w:p>
    <w:p w14:paraId="49B699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hint="eastAsia" w:ascii="仿宋_GB2312" w:hAnsi="仿宋_GB2312" w:eastAsia="仿宋_GB2312" w:cs="仿宋_GB2312"/>
          <w:sz w:val="32"/>
          <w:szCs w:val="24"/>
        </w:rPr>
        <w:t>根据</w:t>
      </w:r>
      <w:r>
        <w:rPr>
          <w:rFonts w:hint="eastAsia" w:ascii="仿宋_GB2312" w:hAnsi="仿宋_GB2312" w:eastAsia="仿宋_GB2312" w:cs="仿宋_GB2312"/>
          <w:sz w:val="32"/>
          <w:szCs w:val="24"/>
          <w:lang w:eastAsia="zh-CN"/>
        </w:rPr>
        <w:t>与我司</w:t>
      </w:r>
      <w:r>
        <w:rPr>
          <w:rFonts w:hint="eastAsia" w:ascii="仿宋_GB2312" w:hAnsi="仿宋_GB2312" w:eastAsia="仿宋_GB2312" w:cs="仿宋_GB2312"/>
          <w:sz w:val="32"/>
          <w:szCs w:val="24"/>
        </w:rPr>
        <w:t>当年度</w:t>
      </w:r>
      <w:r>
        <w:rPr>
          <w:rFonts w:hint="eastAsia" w:ascii="Times New Roman" w:hAnsi="Times New Roman" w:eastAsia="仿宋_GB2312"/>
          <w:sz w:val="32"/>
          <w:szCs w:val="24"/>
          <w:lang w:eastAsia="zh-CN"/>
        </w:rPr>
        <w:t>境内债券</w:t>
      </w:r>
      <w:r>
        <w:rPr>
          <w:rFonts w:hint="eastAsia" w:ascii="Times New Roman" w:hAnsi="Times New Roman" w:eastAsia="仿宋_GB2312"/>
          <w:sz w:val="32"/>
          <w:szCs w:val="24"/>
        </w:rPr>
        <w:t>合作情况对合作金融机构进行基础评分</w:t>
      </w:r>
      <w:r>
        <w:rPr>
          <w:rFonts w:hint="eastAsia" w:ascii="Times New Roman" w:hAnsi="Times New Roman" w:eastAsia="仿宋_GB2312"/>
          <w:sz w:val="32"/>
          <w:szCs w:val="24"/>
          <w:lang w:eastAsia="zh-CN"/>
        </w:rPr>
        <w:t>（</w:t>
      </w:r>
      <w:r>
        <w:rPr>
          <w:rFonts w:hint="eastAsia" w:ascii="Times New Roman" w:hAnsi="Times New Roman" w:eastAsia="仿宋_GB2312"/>
          <w:sz w:val="32"/>
          <w:szCs w:val="24"/>
          <w:lang w:val="en-US" w:eastAsia="zh-CN"/>
        </w:rPr>
        <w:t>5分</w:t>
      </w:r>
      <w:r>
        <w:rPr>
          <w:rFonts w:hint="eastAsia" w:ascii="Times New Roman" w:hAnsi="Times New Roman" w:eastAsia="仿宋_GB2312"/>
          <w:sz w:val="32"/>
          <w:szCs w:val="24"/>
          <w:lang w:eastAsia="zh-CN"/>
        </w:rPr>
        <w:t>），</w:t>
      </w:r>
      <w:r>
        <w:rPr>
          <w:rFonts w:hint="eastAsia" w:ascii="Times New Roman" w:hAnsi="Times New Roman" w:eastAsia="仿宋_GB2312"/>
          <w:sz w:val="32"/>
          <w:szCs w:val="24"/>
        </w:rPr>
        <w:t>评分</w:t>
      </w:r>
      <w:r>
        <w:rPr>
          <w:rFonts w:ascii="Times New Roman" w:hAnsi="Times New Roman" w:eastAsia="仿宋_GB2312"/>
          <w:sz w:val="32"/>
          <w:szCs w:val="24"/>
        </w:rPr>
        <w:t>91</w:t>
      </w:r>
      <w:r>
        <w:rPr>
          <w:rFonts w:hint="eastAsia" w:eastAsia="仿宋_GB2312"/>
          <w:sz w:val="32"/>
          <w:szCs w:val="24"/>
          <w:lang w:eastAsia="zh-CN"/>
        </w:rPr>
        <w:t>—</w:t>
      </w:r>
      <w:r>
        <w:rPr>
          <w:rFonts w:ascii="Times New Roman" w:hAnsi="Times New Roman" w:eastAsia="仿宋_GB2312"/>
          <w:sz w:val="32"/>
          <w:szCs w:val="24"/>
        </w:rPr>
        <w:t>100</w:t>
      </w:r>
      <w:r>
        <w:rPr>
          <w:rFonts w:hint="eastAsia" w:ascii="Times New Roman" w:hAnsi="Times New Roman" w:eastAsia="仿宋_GB2312"/>
          <w:sz w:val="32"/>
          <w:szCs w:val="24"/>
        </w:rPr>
        <w:t>分的得</w:t>
      </w:r>
      <w:r>
        <w:rPr>
          <w:rFonts w:ascii="Times New Roman" w:hAnsi="Times New Roman" w:eastAsia="仿宋_GB2312"/>
          <w:sz w:val="32"/>
          <w:szCs w:val="24"/>
        </w:rPr>
        <w:t>5</w:t>
      </w:r>
      <w:r>
        <w:rPr>
          <w:rFonts w:hint="eastAsia" w:ascii="Times New Roman" w:hAnsi="Times New Roman" w:eastAsia="仿宋_GB2312"/>
          <w:sz w:val="32"/>
          <w:szCs w:val="24"/>
        </w:rPr>
        <w:t>分，评分</w:t>
      </w:r>
      <w:r>
        <w:rPr>
          <w:rFonts w:ascii="Times New Roman" w:hAnsi="Times New Roman" w:eastAsia="仿宋_GB2312"/>
          <w:sz w:val="32"/>
          <w:szCs w:val="24"/>
        </w:rPr>
        <w:t>76</w:t>
      </w:r>
      <w:r>
        <w:rPr>
          <w:rFonts w:hint="eastAsia" w:eastAsia="仿宋_GB2312"/>
          <w:sz w:val="32"/>
          <w:szCs w:val="24"/>
          <w:lang w:eastAsia="zh-CN"/>
        </w:rPr>
        <w:t>—</w:t>
      </w:r>
      <w:r>
        <w:rPr>
          <w:rFonts w:ascii="Times New Roman" w:hAnsi="Times New Roman" w:eastAsia="仿宋_GB2312"/>
          <w:sz w:val="32"/>
          <w:szCs w:val="24"/>
        </w:rPr>
        <w:t>90</w:t>
      </w:r>
      <w:r>
        <w:rPr>
          <w:rFonts w:hint="eastAsia" w:ascii="Times New Roman" w:hAnsi="Times New Roman" w:eastAsia="仿宋_GB2312"/>
          <w:sz w:val="32"/>
          <w:szCs w:val="24"/>
        </w:rPr>
        <w:t>分的得</w:t>
      </w:r>
      <w:r>
        <w:rPr>
          <w:rFonts w:ascii="Times New Roman" w:hAnsi="Times New Roman" w:eastAsia="仿宋_GB2312"/>
          <w:sz w:val="32"/>
          <w:szCs w:val="24"/>
        </w:rPr>
        <w:t>2</w:t>
      </w:r>
      <w:r>
        <w:rPr>
          <w:rFonts w:hint="eastAsia" w:ascii="Times New Roman" w:hAnsi="Times New Roman" w:eastAsia="仿宋_GB2312"/>
          <w:sz w:val="32"/>
          <w:szCs w:val="24"/>
        </w:rPr>
        <w:t>分，评分</w:t>
      </w:r>
      <w:r>
        <w:rPr>
          <w:rFonts w:ascii="Times New Roman" w:hAnsi="Times New Roman" w:eastAsia="仿宋_GB2312"/>
          <w:sz w:val="32"/>
          <w:szCs w:val="24"/>
        </w:rPr>
        <w:t>60</w:t>
      </w:r>
      <w:r>
        <w:rPr>
          <w:rFonts w:hint="eastAsia" w:eastAsia="仿宋_GB2312"/>
          <w:sz w:val="32"/>
          <w:szCs w:val="24"/>
          <w:lang w:eastAsia="zh-CN"/>
        </w:rPr>
        <w:t>—</w:t>
      </w:r>
      <w:r>
        <w:rPr>
          <w:rFonts w:ascii="Times New Roman" w:hAnsi="Times New Roman" w:eastAsia="仿宋_GB2312"/>
          <w:sz w:val="32"/>
          <w:szCs w:val="24"/>
        </w:rPr>
        <w:t>75</w:t>
      </w:r>
      <w:r>
        <w:rPr>
          <w:rFonts w:hint="eastAsia" w:ascii="Times New Roman" w:hAnsi="Times New Roman" w:eastAsia="仿宋_GB2312"/>
          <w:sz w:val="32"/>
          <w:szCs w:val="24"/>
        </w:rPr>
        <w:t>分的得</w:t>
      </w:r>
      <w:r>
        <w:rPr>
          <w:rFonts w:ascii="Times New Roman" w:hAnsi="Times New Roman" w:eastAsia="仿宋_GB2312"/>
          <w:sz w:val="32"/>
          <w:szCs w:val="24"/>
        </w:rPr>
        <w:t>1</w:t>
      </w:r>
      <w:r>
        <w:rPr>
          <w:rFonts w:hint="eastAsia" w:ascii="Times New Roman" w:hAnsi="Times New Roman" w:eastAsia="仿宋_GB2312"/>
          <w:sz w:val="32"/>
          <w:szCs w:val="24"/>
        </w:rPr>
        <w:t>分，评分</w:t>
      </w:r>
      <w:r>
        <w:rPr>
          <w:rFonts w:ascii="Times New Roman" w:hAnsi="Times New Roman" w:eastAsia="仿宋_GB2312"/>
          <w:sz w:val="32"/>
          <w:szCs w:val="24"/>
        </w:rPr>
        <w:t>60</w:t>
      </w:r>
      <w:r>
        <w:rPr>
          <w:rFonts w:hint="eastAsia" w:ascii="Times New Roman" w:hAnsi="Times New Roman" w:eastAsia="仿宋_GB2312"/>
          <w:sz w:val="32"/>
          <w:szCs w:val="24"/>
        </w:rPr>
        <w:t>分以下不得分。</w:t>
      </w:r>
      <w:r>
        <w:rPr>
          <w:rFonts w:hint="eastAsia" w:ascii="仿宋_GB2312" w:hAnsi="宋体" w:eastAsia="仿宋_GB2312" w:cs="仿宋_GB2312"/>
          <w:color w:val="000000"/>
          <w:sz w:val="32"/>
          <w:szCs w:val="32"/>
        </w:rPr>
        <w:t>若本年度未开展合作的则该项不得分。</w:t>
      </w:r>
    </w:p>
    <w:p w14:paraId="5924E9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lang w:eastAsia="zh-CN"/>
        </w:rPr>
        <w:t>（2）</w:t>
      </w:r>
      <w:r>
        <w:rPr>
          <w:rFonts w:hint="eastAsia" w:ascii="仿宋_GB2312" w:hAnsi="宋体" w:eastAsia="仿宋_GB2312" w:cs="仿宋_GB2312"/>
          <w:color w:val="000000"/>
          <w:sz w:val="32"/>
          <w:szCs w:val="32"/>
        </w:rPr>
        <w:t>直接加减分项</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rPr>
        <w:t>15分</w:t>
      </w:r>
      <w:r>
        <w:rPr>
          <w:rFonts w:hint="eastAsia" w:ascii="仿宋_GB2312" w:hAnsi="宋体" w:eastAsia="仿宋_GB2312" w:cs="仿宋_GB2312"/>
          <w:color w:val="000000"/>
          <w:sz w:val="32"/>
          <w:szCs w:val="32"/>
          <w:lang w:eastAsia="zh-CN"/>
        </w:rPr>
        <w:t>）</w:t>
      </w:r>
    </w:p>
    <w:p w14:paraId="40B125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①上一年度及当年截至评选上一月底认购</w:t>
      </w:r>
      <w:r>
        <w:rPr>
          <w:rFonts w:hint="eastAsia" w:ascii="仿宋_GB2312" w:hAnsi="宋体" w:eastAsia="仿宋_GB2312" w:cs="仿宋_GB2312"/>
          <w:color w:val="000000"/>
          <w:sz w:val="32"/>
          <w:szCs w:val="32"/>
          <w:lang w:val="en-US" w:eastAsia="zh-CN"/>
        </w:rPr>
        <w:t>我司</w:t>
      </w:r>
      <w:r>
        <w:rPr>
          <w:rFonts w:hint="eastAsia" w:ascii="仿宋_GB2312" w:hAnsi="宋体" w:eastAsia="仿宋_GB2312" w:cs="仿宋_GB2312"/>
          <w:color w:val="000000"/>
          <w:sz w:val="32"/>
          <w:szCs w:val="32"/>
        </w:rPr>
        <w:t>发行的融资产品，每1亿元</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rPr>
        <w:t>不足部分按比例计算</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rPr>
        <w:t>，加0</w:t>
      </w:r>
      <w:r>
        <w:rPr>
          <w:rFonts w:hint="eastAsia" w:ascii="仿宋_GB2312" w:hAnsi="宋体" w:eastAsia="仿宋_GB2312" w:cs="仿宋_GB2312"/>
          <w:color w:val="000000"/>
          <w:sz w:val="32"/>
          <w:szCs w:val="32"/>
          <w:lang w:val="en-US" w:eastAsia="zh-CN"/>
        </w:rPr>
        <w:t>.</w:t>
      </w:r>
      <w:r>
        <w:rPr>
          <w:rFonts w:hint="eastAsia" w:ascii="仿宋_GB2312" w:hAnsi="宋体" w:eastAsia="仿宋_GB2312" w:cs="仿宋_GB2312"/>
          <w:color w:val="000000"/>
          <w:sz w:val="32"/>
          <w:szCs w:val="32"/>
        </w:rPr>
        <w:t>2分，封顶15分。</w:t>
      </w:r>
    </w:p>
    <w:p w14:paraId="536B38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②上年及本年债券发行合作中，金融机构非因监管政策、市场等客观原因，未能按</w:t>
      </w:r>
      <w:r>
        <w:rPr>
          <w:rFonts w:hint="eastAsia" w:ascii="仿宋_GB2312" w:hAnsi="宋体" w:eastAsia="仿宋_GB2312" w:cs="仿宋_GB2312"/>
          <w:color w:val="000000"/>
          <w:sz w:val="32"/>
          <w:szCs w:val="32"/>
          <w:lang w:val="en-US" w:eastAsia="zh-CN"/>
        </w:rPr>
        <w:t>我司</w:t>
      </w:r>
      <w:r>
        <w:rPr>
          <w:rFonts w:hint="eastAsia" w:ascii="仿宋_GB2312" w:hAnsi="宋体" w:eastAsia="仿宋_GB2312" w:cs="仿宋_GB2312"/>
          <w:color w:val="000000"/>
          <w:sz w:val="32"/>
          <w:szCs w:val="32"/>
        </w:rPr>
        <w:t>需求实现债券发行，对</w:t>
      </w:r>
      <w:r>
        <w:rPr>
          <w:rFonts w:hint="eastAsia" w:ascii="仿宋_GB2312" w:hAnsi="宋体" w:eastAsia="仿宋_GB2312" w:cs="仿宋_GB2312"/>
          <w:color w:val="000000"/>
          <w:sz w:val="32"/>
          <w:szCs w:val="32"/>
          <w:lang w:val="en-US" w:eastAsia="zh-CN"/>
        </w:rPr>
        <w:t>我司</w:t>
      </w:r>
      <w:r>
        <w:rPr>
          <w:rFonts w:hint="eastAsia" w:ascii="仿宋_GB2312" w:hAnsi="宋体" w:eastAsia="仿宋_GB2312" w:cs="仿宋_GB2312"/>
          <w:color w:val="000000"/>
          <w:sz w:val="32"/>
          <w:szCs w:val="32"/>
        </w:rPr>
        <w:t>造成一定负面影响，但金融机构配合企业采取补救措施，使负面影响处于可控范围的，一次性</w:t>
      </w:r>
      <w:r>
        <w:rPr>
          <w:rFonts w:hint="eastAsia" w:ascii="仿宋_GB2312" w:hAnsi="宋体" w:eastAsia="仿宋_GB2312" w:cs="仿宋_GB2312"/>
          <w:color w:val="000000"/>
          <w:sz w:val="32"/>
          <w:szCs w:val="32"/>
          <w:lang w:val="en-US" w:eastAsia="zh-CN"/>
        </w:rPr>
        <w:t>扣</w:t>
      </w:r>
      <w:r>
        <w:rPr>
          <w:rFonts w:hint="eastAsia" w:ascii="仿宋_GB2312" w:hAnsi="宋体" w:eastAsia="仿宋_GB2312" w:cs="仿宋_GB2312"/>
          <w:color w:val="000000"/>
          <w:sz w:val="32"/>
          <w:szCs w:val="32"/>
        </w:rPr>
        <w:t>15分。</w:t>
      </w:r>
    </w:p>
    <w:p w14:paraId="13753995">
      <w:pPr>
        <w:spacing w:line="60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三</w:t>
      </w:r>
      <w:r>
        <w:rPr>
          <w:rFonts w:hint="eastAsia" w:ascii="仿宋_GB2312" w:eastAsia="仿宋_GB2312"/>
          <w:b/>
          <w:sz w:val="32"/>
          <w:szCs w:val="32"/>
          <w:highlight w:val="none"/>
        </w:rPr>
        <w:t>、推荐中选候选人名单</w:t>
      </w:r>
      <w:r>
        <w:rPr>
          <w:rFonts w:hint="eastAsia" w:ascii="黑体" w:eastAsia="黑体"/>
          <w:sz w:val="32"/>
          <w:szCs w:val="32"/>
        </w:rPr>
        <w:t>（若在比选过程中该债项有效承销商数量不足预先设定候选人数量的，则按实际数量推荐）</w:t>
      </w:r>
    </w:p>
    <w:p w14:paraId="1339F5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（一）本次项目中选候选人、中选承销费率及承销费分配具体如下：</w:t>
      </w:r>
    </w:p>
    <w:p w14:paraId="4FB02A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1.由市国资委复选确定</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rPr>
        <w:t>组中选定</w:t>
      </w:r>
      <w:r>
        <w:rPr>
          <w:rFonts w:hint="eastAsia" w:ascii="仿宋_GB2312" w:eastAsia="仿宋_GB2312"/>
          <w:sz w:val="32"/>
          <w:szCs w:val="32"/>
          <w:highlight w:val="none"/>
          <w:lang w:val="en-US" w:eastAsia="zh-CN"/>
        </w:rPr>
        <w:t>前3名金融</w:t>
      </w:r>
      <w:r>
        <w:rPr>
          <w:rFonts w:hint="eastAsia" w:ascii="仿宋_GB2312" w:eastAsia="仿宋_GB2312"/>
          <w:sz w:val="32"/>
          <w:szCs w:val="32"/>
          <w:highlight w:val="none"/>
        </w:rPr>
        <w:t>机构</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联合体</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作为中选人</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第一名金融机构的牵头方作为注册申报牵头主承销商，第一名金融机构的非牵头方及第二、三名金融机构</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联合体</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作为联席承销商</w:t>
      </w:r>
      <w:r>
        <w:rPr>
          <w:rFonts w:hint="eastAsia" w:ascii="仿宋_GB2312" w:eastAsia="仿宋_GB2312"/>
          <w:sz w:val="32"/>
          <w:szCs w:val="32"/>
          <w:highlight w:val="none"/>
        </w:rPr>
        <w:t>；</w:t>
      </w:r>
    </w:p>
    <w:p w14:paraId="313985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highlight w:val="none"/>
        </w:rPr>
        <w:t>2.中选承销费率取中选的金融机构承销费率</w:t>
      </w:r>
      <w:r>
        <w:rPr>
          <w:rFonts w:hint="eastAsia" w:ascii="仿宋_GB2312" w:eastAsia="仿宋_GB2312"/>
          <w:sz w:val="32"/>
          <w:szCs w:val="32"/>
          <w:highlight w:val="none"/>
          <w:lang w:val="en-US" w:eastAsia="zh-CN"/>
        </w:rPr>
        <w:t>最低</w:t>
      </w:r>
      <w:r>
        <w:rPr>
          <w:rFonts w:hint="eastAsia" w:ascii="仿宋_GB2312" w:eastAsia="仿宋_GB2312"/>
          <w:sz w:val="32"/>
          <w:szCs w:val="32"/>
          <w:highlight w:val="none"/>
        </w:rPr>
        <w:t>报价作为</w:t>
      </w:r>
      <w:r>
        <w:rPr>
          <w:rFonts w:hint="eastAsia" w:ascii="仿宋_GB2312" w:eastAsia="仿宋_GB2312"/>
          <w:sz w:val="32"/>
          <w:szCs w:val="32"/>
          <w:highlight w:val="none"/>
          <w:lang w:val="en-US" w:eastAsia="zh-CN"/>
        </w:rPr>
        <w:t>统一</w:t>
      </w:r>
      <w:r>
        <w:rPr>
          <w:rFonts w:hint="eastAsia" w:ascii="仿宋_GB2312" w:eastAsia="仿宋_GB2312"/>
          <w:sz w:val="32"/>
          <w:szCs w:val="32"/>
          <w:highlight w:val="none"/>
        </w:rPr>
        <w:t>承销费率；</w:t>
      </w:r>
      <w:r>
        <w:rPr>
          <w:rFonts w:hint="eastAsia" w:ascii="仿宋_GB2312" w:eastAsia="仿宋_GB2312"/>
          <w:sz w:val="32"/>
          <w:szCs w:val="32"/>
        </w:rPr>
        <w:t>联合体</w:t>
      </w:r>
      <w:r>
        <w:rPr>
          <w:rFonts w:hint="eastAsia" w:ascii="仿宋_GB2312" w:eastAsia="仿宋_GB2312"/>
          <w:sz w:val="32"/>
          <w:szCs w:val="32"/>
          <w:lang w:val="en-US" w:eastAsia="zh-CN"/>
        </w:rPr>
        <w:t>的</w:t>
      </w:r>
      <w:r>
        <w:rPr>
          <w:rFonts w:hint="eastAsia" w:ascii="仿宋_GB2312" w:hAnsi="仿宋_GB2312" w:eastAsia="仿宋_GB2312" w:cs="仿宋_GB2312"/>
          <w:sz w:val="32"/>
          <w:szCs w:val="32"/>
        </w:rPr>
        <w:t>承销</w:t>
      </w:r>
      <w:r>
        <w:rPr>
          <w:rFonts w:hint="eastAsia" w:ascii="仿宋_GB2312" w:hAnsi="仿宋_GB2312" w:eastAsia="仿宋_GB2312" w:cs="仿宋_GB2312"/>
          <w:sz w:val="32"/>
          <w:szCs w:val="32"/>
          <w:lang w:eastAsia="zh-CN"/>
        </w:rPr>
        <w:t>比例等事项</w:t>
      </w:r>
      <w:r>
        <w:rPr>
          <w:rFonts w:hint="eastAsia" w:ascii="仿宋_GB2312" w:hAnsi="仿宋_GB2312" w:eastAsia="仿宋_GB2312" w:cs="仿宋_GB2312"/>
          <w:sz w:val="32"/>
          <w:szCs w:val="32"/>
        </w:rPr>
        <w:t>原则上</w:t>
      </w:r>
      <w:r>
        <w:rPr>
          <w:rFonts w:hint="eastAsia" w:ascii="仿宋_GB2312" w:hAnsi="仿宋_GB2312" w:eastAsia="仿宋_GB2312" w:cs="仿宋_GB2312"/>
          <w:sz w:val="32"/>
          <w:szCs w:val="32"/>
          <w:lang w:eastAsia="zh-CN"/>
        </w:rPr>
        <w:t>由参与比选的联组双方机构自行协商，</w:t>
      </w:r>
      <w:r>
        <w:rPr>
          <w:rFonts w:hint="eastAsia" w:ascii="仿宋_GB2312" w:eastAsia="仿宋_GB2312"/>
          <w:sz w:val="32"/>
          <w:szCs w:val="32"/>
        </w:rPr>
        <w:t>承销费用原则上按照销售比例进行分配。</w:t>
      </w:r>
      <w:r>
        <w:rPr>
          <w:rFonts w:hint="eastAsia" w:ascii="仿宋_GB2312" w:hAnsi="仿宋_GB2312" w:eastAsia="仿宋_GB2312" w:cs="仿宋_GB2312"/>
          <w:sz w:val="32"/>
          <w:szCs w:val="32"/>
          <w:lang w:eastAsia="zh-CN"/>
        </w:rPr>
        <w:t>参与报价视为双方已协商一致，任何一方不得因双方未尽事项影响我司项目推进。</w:t>
      </w:r>
    </w:p>
    <w:p w14:paraId="2798AF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rPr>
        <w:t>（二）参选方式</w:t>
      </w:r>
      <w:r>
        <w:rPr>
          <w:rFonts w:hint="eastAsia" w:ascii="仿宋_GB2312" w:eastAsia="仿宋_GB2312"/>
          <w:sz w:val="32"/>
          <w:szCs w:val="32"/>
          <w:highlight w:val="none"/>
        </w:rPr>
        <w:t>。</w:t>
      </w:r>
      <w:r>
        <w:rPr>
          <w:rFonts w:hint="eastAsia" w:ascii="仿宋_GB2312" w:hAnsi="仿宋_GB2312" w:eastAsia="仿宋_GB2312" w:cs="仿宋_GB2312"/>
          <w:kern w:val="0"/>
          <w:sz w:val="32"/>
          <w:szCs w:val="32"/>
          <w:highlight w:val="none"/>
          <w:lang w:val="en-US" w:eastAsia="zh-CN"/>
        </w:rPr>
        <w:t>需</w:t>
      </w:r>
      <w:r>
        <w:rPr>
          <w:rFonts w:hint="eastAsia" w:ascii="仿宋_GB2312" w:hAnsi="仿宋_GB2312" w:eastAsia="仿宋_GB2312" w:cs="仿宋_GB2312"/>
          <w:kern w:val="0"/>
          <w:sz w:val="32"/>
          <w:szCs w:val="32"/>
          <w:highlight w:val="none"/>
        </w:rPr>
        <w:t>以联合体方式参与比选，联合体由</w:t>
      </w:r>
      <w:r>
        <w:rPr>
          <w:rFonts w:hint="eastAsia" w:ascii="仿宋_GB2312" w:hAnsi="仿宋_GB2312" w:eastAsia="仿宋_GB2312" w:cs="仿宋_GB2312"/>
          <w:kern w:val="0"/>
          <w:sz w:val="32"/>
          <w:szCs w:val="32"/>
          <w:highlight w:val="none"/>
          <w:lang w:val="en-US" w:eastAsia="zh-CN"/>
        </w:rPr>
        <w:t>1家银行</w:t>
      </w:r>
      <w:r>
        <w:rPr>
          <w:rFonts w:hint="eastAsia" w:ascii="仿宋_GB2312" w:hAnsi="仿宋_GB2312" w:eastAsia="仿宋_GB2312" w:cs="仿宋_GB2312"/>
          <w:kern w:val="0"/>
          <w:sz w:val="32"/>
          <w:szCs w:val="32"/>
          <w:highlight w:val="none"/>
        </w:rPr>
        <w:t>机构</w:t>
      </w:r>
      <w:r>
        <w:rPr>
          <w:rFonts w:hint="eastAsia" w:ascii="仿宋_GB2312" w:hAnsi="仿宋_GB2312" w:eastAsia="仿宋_GB2312" w:cs="仿宋_GB2312"/>
          <w:kern w:val="0"/>
          <w:sz w:val="32"/>
          <w:szCs w:val="32"/>
          <w:highlight w:val="none"/>
          <w:lang w:val="en-US" w:eastAsia="zh-CN"/>
        </w:rPr>
        <w:t>和1家券商</w:t>
      </w:r>
      <w:r>
        <w:rPr>
          <w:rFonts w:hint="eastAsia" w:ascii="仿宋_GB2312" w:hAnsi="仿宋_GB2312" w:eastAsia="仿宋_GB2312" w:cs="仿宋_GB2312"/>
          <w:kern w:val="0"/>
          <w:sz w:val="32"/>
          <w:szCs w:val="32"/>
          <w:highlight w:val="none"/>
        </w:rPr>
        <w:t>组成，递交一份融资方案，且须明确</w:t>
      </w:r>
      <w:r>
        <w:rPr>
          <w:rFonts w:hint="eastAsia" w:ascii="仿宋_GB2312" w:hAnsi="仿宋_GB2312" w:eastAsia="仿宋_GB2312" w:cs="仿宋_GB2312"/>
          <w:kern w:val="0"/>
          <w:sz w:val="32"/>
          <w:szCs w:val="32"/>
          <w:highlight w:val="none"/>
          <w:lang w:val="en-US" w:eastAsia="zh-CN"/>
        </w:rPr>
        <w:t>银行机构为</w:t>
      </w:r>
      <w:r>
        <w:rPr>
          <w:rFonts w:hint="eastAsia" w:ascii="仿宋_GB2312" w:hAnsi="仿宋_GB2312" w:eastAsia="仿宋_GB2312" w:cs="仿宋_GB2312"/>
          <w:kern w:val="0"/>
          <w:sz w:val="32"/>
          <w:szCs w:val="32"/>
          <w:highlight w:val="none"/>
        </w:rPr>
        <w:t>牵头主承销商</w:t>
      </w:r>
      <w:r>
        <w:rPr>
          <w:rFonts w:hint="eastAsia" w:ascii="仿宋_GB2312" w:hAnsi="仿宋_GB2312" w:eastAsia="仿宋_GB2312" w:cs="仿宋_GB2312"/>
          <w:kern w:val="0"/>
          <w:sz w:val="32"/>
          <w:szCs w:val="32"/>
        </w:rPr>
        <w:t>，无特别指明的均以牵头主承销商指标为评分指标。</w:t>
      </w:r>
    </w:p>
    <w:p w14:paraId="5BD4DA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三）中选候选人排列顺序。采用综合评分法，按评审后的综合得分由高到低顺序排列；综合得分相同的，按承销费率得分由高到低顺序排列；综合得分且承销费率相同的，按融资效率项得分由高到低顺序排列；上述均相同的，则采取抽签方式确定排名先后。</w:t>
      </w:r>
    </w:p>
    <w:p w14:paraId="1EA95E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（四）</w:t>
      </w:r>
      <w:r>
        <w:rPr>
          <w:rFonts w:hint="eastAsia" w:ascii="仿宋_GB2312" w:hAnsi="Times New Roman" w:eastAsia="仿宋_GB2312" w:cs="Times New Roman"/>
          <w:b w:val="0"/>
          <w:sz w:val="32"/>
          <w:szCs w:val="32"/>
          <w:highlight w:val="none"/>
        </w:rPr>
        <w:t>若在比选过程中该债项有效承销商数量不足预先设定候选人数量的，则按实际数量推荐</w:t>
      </w:r>
      <w:r>
        <w:rPr>
          <w:rFonts w:hint="eastAsia" w:ascii="仿宋_GB2312" w:hAnsi="Times New Roman" w:eastAsia="仿宋_GB2312" w:cs="Times New Roman"/>
          <w:b w:val="0"/>
          <w:sz w:val="32"/>
          <w:szCs w:val="32"/>
          <w:highlight w:val="none"/>
          <w:lang w:eastAsia="zh-CN"/>
        </w:rPr>
        <w:t>。</w:t>
      </w:r>
    </w:p>
    <w:p w14:paraId="0417A5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sz w:val="32"/>
          <w:szCs w:val="32"/>
          <w:highlight w:val="none"/>
          <w:lang w:eastAsia="zh-CN"/>
        </w:rPr>
      </w:pPr>
      <w:r>
        <w:rPr>
          <w:rFonts w:hint="eastAsia" w:ascii="仿宋_GB2312" w:eastAsia="仿宋_GB2312"/>
          <w:sz w:val="32"/>
          <w:szCs w:val="32"/>
          <w:highlight w:val="none"/>
          <w:lang w:eastAsia="zh-CN"/>
        </w:rPr>
        <w:t>（五）</w:t>
      </w:r>
      <w:r>
        <w:rPr>
          <w:rFonts w:hint="eastAsia" w:ascii="仿宋_GB2312" w:eastAsia="仿宋_GB2312"/>
          <w:sz w:val="32"/>
          <w:szCs w:val="32"/>
          <w:highlight w:val="none"/>
        </w:rPr>
        <w:t>根据</w:t>
      </w:r>
      <w:r>
        <w:rPr>
          <w:rFonts w:hint="eastAsia" w:ascii="仿宋_GB2312" w:hAnsi="Times New Roman" w:eastAsia="仿宋_GB2312" w:cs="Times New Roman"/>
          <w:sz w:val="32"/>
          <w:szCs w:val="32"/>
        </w:rPr>
        <w:t>《龙岩市国资委印发龙岩市属国有企业</w:t>
      </w:r>
      <w:r>
        <w:rPr>
          <w:rFonts w:hint="eastAsia" w:ascii="仿宋_GB2312" w:hAnsi="Times New Roman" w:eastAsia="仿宋_GB2312" w:cs="Times New Roman"/>
          <w:sz w:val="32"/>
          <w:szCs w:val="32"/>
          <w:lang w:val="en-US" w:eastAsia="zh-CN"/>
        </w:rPr>
        <w:t>债券发行承销机构</w:t>
      </w:r>
      <w:r>
        <w:rPr>
          <w:rFonts w:hint="eastAsia" w:ascii="仿宋_GB2312" w:hAnsi="Times New Roman" w:eastAsia="仿宋_GB2312" w:cs="Times New Roman"/>
          <w:sz w:val="32"/>
          <w:szCs w:val="32"/>
        </w:rPr>
        <w:t>比选方案的通知》（</w:t>
      </w:r>
      <w:r>
        <w:rPr>
          <w:rFonts w:hint="eastAsia" w:ascii="仿宋_GB2312" w:hAnsi="Times New Roman" w:eastAsia="仿宋_GB2312" w:cs="Times New Roman"/>
          <w:sz w:val="32"/>
          <w:szCs w:val="32"/>
          <w:lang w:val="en-US" w:eastAsia="zh-CN"/>
        </w:rPr>
        <w:t>龙</w:t>
      </w:r>
      <w:r>
        <w:rPr>
          <w:rFonts w:hint="eastAsia" w:ascii="仿宋_GB2312" w:hAnsi="Times New Roman" w:eastAsia="仿宋_GB2312" w:cs="Times New Roman"/>
          <w:sz w:val="32"/>
          <w:szCs w:val="32"/>
        </w:rPr>
        <w:t>国资〔202</w:t>
      </w: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92</w:t>
      </w:r>
      <w:r>
        <w:rPr>
          <w:rFonts w:hint="eastAsia" w:ascii="仿宋_GB2312" w:hAnsi="Times New Roman" w:eastAsia="仿宋_GB2312" w:cs="Times New Roman"/>
          <w:sz w:val="32"/>
          <w:szCs w:val="32"/>
        </w:rPr>
        <w:t>号）</w:t>
      </w:r>
      <w:r>
        <w:rPr>
          <w:rFonts w:hint="eastAsia" w:ascii="仿宋_GB2312" w:eastAsia="仿宋_GB2312"/>
          <w:sz w:val="32"/>
          <w:szCs w:val="32"/>
          <w:highlight w:val="none"/>
        </w:rPr>
        <w:t>的要求，由我司对本次债项参评机构进行初评，初评</w:t>
      </w:r>
      <w:r>
        <w:rPr>
          <w:rFonts w:ascii="仿宋_GB2312" w:eastAsia="仿宋_GB2312"/>
          <w:sz w:val="32"/>
          <w:szCs w:val="32"/>
          <w:highlight w:val="none"/>
        </w:rPr>
        <w:t>排名前</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名</w:t>
      </w:r>
      <w:r>
        <w:rPr>
          <w:rFonts w:ascii="仿宋_GB2312" w:eastAsia="仿宋_GB2312"/>
          <w:sz w:val="32"/>
          <w:szCs w:val="32"/>
          <w:highlight w:val="none"/>
        </w:rPr>
        <w:t>的</w:t>
      </w:r>
      <w:r>
        <w:rPr>
          <w:rFonts w:hint="eastAsia" w:ascii="仿宋_GB2312" w:eastAsia="仿宋_GB2312"/>
          <w:sz w:val="32"/>
          <w:szCs w:val="32"/>
          <w:highlight w:val="none"/>
          <w:lang w:val="en-US" w:eastAsia="zh-CN"/>
        </w:rPr>
        <w:t>金融</w:t>
      </w:r>
      <w:r>
        <w:rPr>
          <w:rFonts w:hint="eastAsia" w:ascii="仿宋_GB2312" w:eastAsia="仿宋_GB2312"/>
          <w:sz w:val="32"/>
          <w:szCs w:val="32"/>
          <w:highlight w:val="none"/>
        </w:rPr>
        <w:t>机构，报市国资委复评，经批复后与中选机构签订合作协议。</w:t>
      </w:r>
    </w:p>
    <w:p w14:paraId="4964AAA1">
      <w:pPr>
        <w:spacing w:line="600" w:lineRule="exact"/>
        <w:ind w:firstLine="640" w:firstLineChars="200"/>
        <w:rPr>
          <w:rFonts w:hint="eastAsia" w:ascii="黑体" w:hAnsi="Times New Roman" w:eastAsia="黑体" w:cs="Times New Roman"/>
          <w:sz w:val="32"/>
          <w:szCs w:val="32"/>
          <w:highlight w:val="none"/>
        </w:rPr>
      </w:pPr>
      <w:r>
        <w:rPr>
          <w:rFonts w:hint="eastAsia" w:ascii="黑体" w:hAnsi="Times New Roman" w:eastAsia="黑体" w:cs="Times New Roman"/>
          <w:sz w:val="32"/>
          <w:szCs w:val="32"/>
          <w:highlight w:val="none"/>
          <w:lang w:val="en-US" w:eastAsia="zh-CN"/>
        </w:rPr>
        <w:t>四</w:t>
      </w:r>
      <w:r>
        <w:rPr>
          <w:rFonts w:hint="eastAsia" w:ascii="黑体" w:hAnsi="Times New Roman" w:eastAsia="黑体" w:cs="Times New Roman"/>
          <w:sz w:val="32"/>
          <w:szCs w:val="32"/>
          <w:highlight w:val="none"/>
        </w:rPr>
        <w:t>、制约条款</w:t>
      </w:r>
    </w:p>
    <w:p w14:paraId="7B4455CD">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color w:val="000000"/>
          <w:sz w:val="32"/>
          <w:szCs w:val="32"/>
        </w:rPr>
      </w:pPr>
      <w:r>
        <w:rPr>
          <w:rFonts w:hint="eastAsia" w:ascii="仿宋_GB2312" w:eastAsia="仿宋_GB2312"/>
          <w:sz w:val="32"/>
          <w:szCs w:val="32"/>
        </w:rPr>
        <w:t>1.</w:t>
      </w:r>
      <w:bookmarkStart w:id="0" w:name="_Hlk120705807"/>
      <w:r>
        <w:rPr>
          <w:rFonts w:hint="eastAsia" w:ascii="仿宋_GB2312" w:hAnsi="宋体" w:eastAsia="仿宋_GB2312" w:cs="仿宋_GB2312"/>
          <w:color w:val="000000"/>
          <w:sz w:val="32"/>
          <w:szCs w:val="32"/>
        </w:rPr>
        <w:t>对于</w:t>
      </w:r>
      <w:r>
        <w:rPr>
          <w:rFonts w:hint="eastAsia" w:ascii="仿宋_GB2312" w:eastAsia="仿宋_GB2312"/>
          <w:sz w:val="32"/>
          <w:szCs w:val="32"/>
        </w:rPr>
        <w:t>中选的金融机构未在其承诺的时限内完成审批，</w:t>
      </w:r>
      <w:r>
        <w:rPr>
          <w:rFonts w:hint="eastAsia" w:ascii="仿宋_GB2312" w:eastAsia="仿宋_GB2312"/>
          <w:sz w:val="32"/>
          <w:szCs w:val="32"/>
          <w:lang w:val="en-US" w:eastAsia="zh-CN"/>
        </w:rPr>
        <w:t>我司</w:t>
      </w:r>
      <w:r>
        <w:rPr>
          <w:rFonts w:hint="eastAsia" w:ascii="仿宋_GB2312" w:eastAsia="仿宋_GB2312"/>
          <w:sz w:val="32"/>
          <w:szCs w:val="32"/>
        </w:rPr>
        <w:t>有权直接取消其承销资格，并直接指定顺位金融机构负责承销</w:t>
      </w:r>
      <w:bookmarkEnd w:id="0"/>
      <w:r>
        <w:rPr>
          <w:rFonts w:hint="eastAsia" w:ascii="仿宋_GB2312" w:eastAsia="仿宋_GB2312"/>
          <w:sz w:val="32"/>
          <w:szCs w:val="32"/>
        </w:rPr>
        <w:t>。</w:t>
      </w:r>
      <w:r>
        <w:rPr>
          <w:rFonts w:hint="eastAsia" w:ascii="Times New Roman" w:hAnsi="Times New Roman" w:eastAsia="仿宋_GB2312"/>
          <w:sz w:val="32"/>
          <w:szCs w:val="24"/>
        </w:rPr>
        <w:t>在开展债券融资合作的过程中，因金融机构的原因导致发行计划推迟或取消，对</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造成重大负面影响的，取消该金融机构未来一年参与</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债券融资计划比选资格。</w:t>
      </w:r>
    </w:p>
    <w:p w14:paraId="10AB20E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2.</w:t>
      </w:r>
      <w:r>
        <w:rPr>
          <w:rFonts w:hint="eastAsia" w:ascii="仿宋_GB2312" w:hAnsi="仿宋_GB2312" w:eastAsia="仿宋_GB2312" w:cs="仿宋_GB2312"/>
          <w:sz w:val="32"/>
          <w:szCs w:val="32"/>
          <w:lang w:val="en-US" w:eastAsia="zh-CN"/>
        </w:rPr>
        <w:t>未按提交的比选方案中明确的时间安排完成融资项目发行的，我司有权视实际影响采取包括在下一次融资合作评分融资效率中扣分等措施。</w:t>
      </w:r>
    </w:p>
    <w:p w14:paraId="0B624B03">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ascii="仿宋_GB2312" w:eastAsia="仿宋_GB2312"/>
          <w:sz w:val="32"/>
          <w:szCs w:val="32"/>
          <w:highlight w:val="none"/>
        </w:rPr>
      </w:pPr>
      <w:r>
        <w:rPr>
          <w:rFonts w:ascii="仿宋_GB2312" w:eastAsia="仿宋_GB2312"/>
          <w:sz w:val="32"/>
          <w:szCs w:val="32"/>
          <w:highlight w:val="none"/>
        </w:rPr>
        <w:t>3.</w:t>
      </w:r>
      <w:r>
        <w:rPr>
          <w:rFonts w:ascii="仿宋_GB2312" w:hAnsi="宋体" w:eastAsia="仿宋_GB2312" w:cs="仿宋_GB2312"/>
          <w:color w:val="000000"/>
          <w:kern w:val="0"/>
          <w:sz w:val="31"/>
          <w:szCs w:val="31"/>
          <w:lang w:val="en-US" w:eastAsia="zh-CN" w:bidi="ar"/>
        </w:rPr>
        <w:t>若金融机构已竞得债券承销项目</w:t>
      </w:r>
      <w:r>
        <w:rPr>
          <w:rFonts w:hint="eastAsia" w:ascii="仿宋_GB2312" w:hAnsi="宋体" w:eastAsia="仿宋_GB2312" w:cs="仿宋_GB2312"/>
          <w:color w:val="000000"/>
          <w:kern w:val="0"/>
          <w:sz w:val="31"/>
          <w:szCs w:val="31"/>
          <w:lang w:val="en-US" w:eastAsia="zh-CN" w:bidi="ar"/>
        </w:rPr>
        <w:t>，因自身主观因素</w:t>
      </w:r>
      <w:r>
        <w:rPr>
          <w:rFonts w:ascii="仿宋_GB2312" w:hAnsi="宋体" w:eastAsia="仿宋_GB2312" w:cs="仿宋_GB2312"/>
          <w:color w:val="000000"/>
          <w:kern w:val="0"/>
          <w:sz w:val="31"/>
          <w:szCs w:val="31"/>
          <w:lang w:val="en-US" w:eastAsia="zh-CN" w:bidi="ar"/>
        </w:rPr>
        <w:t>影响</w:t>
      </w:r>
      <w:r>
        <w:rPr>
          <w:rFonts w:hint="eastAsia" w:ascii="仿宋_GB2312" w:hAnsi="宋体" w:eastAsia="仿宋_GB2312" w:cs="仿宋_GB2312"/>
          <w:color w:val="000000"/>
          <w:kern w:val="0"/>
          <w:sz w:val="31"/>
          <w:szCs w:val="31"/>
          <w:lang w:val="en-US" w:eastAsia="zh-CN" w:bidi="ar"/>
        </w:rPr>
        <w:t>申报，未取得批文，则该金融机构2年内（批文下发日起算）不能参与我司其他债券承销项目。</w:t>
      </w:r>
    </w:p>
    <w:p w14:paraId="25928367">
      <w:pPr>
        <w:keepNext w:val="0"/>
        <w:keepLines w:val="0"/>
        <w:pageBreakBefore w:val="0"/>
        <w:kinsoku/>
        <w:wordWrap/>
        <w:overflowPunct/>
        <w:topLinePunct w:val="0"/>
        <w:autoSpaceDE/>
        <w:autoSpaceDN/>
        <w:bidi w:val="0"/>
        <w:spacing w:line="560" w:lineRule="exact"/>
        <w:ind w:firstLine="640" w:firstLineChars="200"/>
        <w:textAlignment w:val="auto"/>
        <w:rPr>
          <w:rFonts w:hint="eastAsia" w:eastAsia="仿宋_GB2312"/>
          <w:sz w:val="32"/>
        </w:rPr>
      </w:pPr>
      <w:r>
        <w:rPr>
          <w:rFonts w:hint="eastAsia" w:ascii="仿宋_GB2312" w:eastAsia="仿宋_GB2312"/>
          <w:sz w:val="32"/>
          <w:szCs w:val="32"/>
          <w:highlight w:val="none"/>
        </w:rPr>
        <w:t>4.</w:t>
      </w:r>
      <w:r>
        <w:rPr>
          <w:rFonts w:hint="eastAsia" w:ascii="仿宋_GB2312" w:hAnsi="仿宋_GB2312" w:eastAsia="仿宋_GB2312" w:cs="仿宋_GB2312"/>
          <w:sz w:val="32"/>
          <w:szCs w:val="32"/>
        </w:rPr>
        <w:t>非因金融机构原因导致债券项目暂无法申报注册的，保留该金融机构该债券项目主承销商资格一年（从</w:t>
      </w:r>
      <w:r>
        <w:rPr>
          <w:rFonts w:hint="eastAsia" w:ascii="仿宋_GB2312" w:hAnsi="仿宋_GB2312" w:eastAsia="仿宋_GB2312" w:cs="仿宋_GB2312"/>
          <w:sz w:val="32"/>
          <w:szCs w:val="32"/>
          <w:lang w:eastAsia="zh-CN"/>
        </w:rPr>
        <w:t>我司</w:t>
      </w:r>
      <w:r>
        <w:rPr>
          <w:rFonts w:hint="eastAsia" w:ascii="仿宋_GB2312" w:hAnsi="仿宋_GB2312" w:eastAsia="仿宋_GB2312" w:cs="仿宋_GB2312"/>
          <w:sz w:val="32"/>
          <w:szCs w:val="32"/>
        </w:rPr>
        <w:t>通知金融机构中选日起第</w:t>
      </w:r>
      <w:r>
        <w:rPr>
          <w:rFonts w:ascii="仿宋_GB2312" w:hAnsi="仿宋_GB2312" w:eastAsia="仿宋_GB2312" w:cs="仿宋_GB2312"/>
          <w:sz w:val="32"/>
          <w:szCs w:val="32"/>
        </w:rPr>
        <w:t>91</w:t>
      </w:r>
      <w:r>
        <w:rPr>
          <w:rFonts w:hint="eastAsia" w:ascii="仿宋_GB2312" w:hAnsi="仿宋_GB2312" w:eastAsia="仿宋_GB2312" w:cs="仿宋_GB2312"/>
          <w:sz w:val="32"/>
          <w:szCs w:val="32"/>
        </w:rPr>
        <w:t>天开始计算），一年后若重启项目，则按程序重新开展债券发行承销机构比选。</w:t>
      </w:r>
    </w:p>
    <w:p w14:paraId="6196E43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sz w:val="32"/>
          <w:szCs w:val="32"/>
          <w:highlight w:val="none"/>
          <w:lang w:eastAsia="zh-CN"/>
        </w:rPr>
      </w:pPr>
      <w:r>
        <w:rPr>
          <w:rFonts w:hint="eastAsia" w:ascii="仿宋_GB2312" w:hAnsi="仿宋_GB2312" w:eastAsia="仿宋_GB2312" w:cs="仿宋_GB2312"/>
          <w:color w:val="auto"/>
          <w:sz w:val="32"/>
          <w:szCs w:val="32"/>
          <w:lang w:eastAsia="zh-CN"/>
        </w:rPr>
        <w:t>金融机构参与比选即视同接受上述制约条款。</w:t>
      </w:r>
    </w:p>
    <w:p w14:paraId="202F7B27">
      <w:pPr>
        <w:keepNext w:val="0"/>
        <w:keepLines w:val="0"/>
        <w:pageBreakBefore w:val="0"/>
        <w:widowControl w:val="0"/>
        <w:kinsoku/>
        <w:wordWrap/>
        <w:overflowPunct/>
        <w:topLinePunct w:val="0"/>
        <w:autoSpaceDE/>
        <w:autoSpaceDN/>
        <w:bidi w:val="0"/>
        <w:adjustRightInd/>
        <w:snapToGrid/>
        <w:spacing w:line="560" w:lineRule="exact"/>
        <w:ind w:left="638" w:leftChars="304"/>
        <w:textAlignment w:val="auto"/>
        <w:rPr>
          <w:rFonts w:hint="eastAsia" w:ascii="仿宋_GB2312" w:hAnsi="仿宋_GB2312" w:eastAsia="仿宋_GB2312" w:cs="仿宋_GB2312"/>
          <w:kern w:val="0"/>
          <w:sz w:val="32"/>
          <w:szCs w:val="32"/>
        </w:rPr>
      </w:pPr>
    </w:p>
    <w:p w14:paraId="55B3385D">
      <w:pPr>
        <w:keepNext w:val="0"/>
        <w:keepLines w:val="0"/>
        <w:pageBreakBefore w:val="0"/>
        <w:widowControl w:val="0"/>
        <w:kinsoku/>
        <w:wordWrap/>
        <w:overflowPunct/>
        <w:topLinePunct w:val="0"/>
        <w:autoSpaceDE/>
        <w:autoSpaceDN/>
        <w:bidi w:val="0"/>
        <w:adjustRightInd/>
        <w:snapToGrid/>
        <w:spacing w:line="560" w:lineRule="exact"/>
        <w:ind w:left="638" w:leftChars="304"/>
        <w:textAlignment w:val="auto"/>
        <w:rPr>
          <w:rFonts w:hint="eastAsia" w:ascii="仿宋_GB2312" w:hAnsi="仿宋_GB2312" w:eastAsia="仿宋_GB2312" w:cs="仿宋_GB2312"/>
          <w:kern w:val="0"/>
          <w:sz w:val="32"/>
          <w:szCs w:val="32"/>
        </w:rPr>
      </w:pPr>
    </w:p>
    <w:p w14:paraId="5F1D4A92">
      <w:pPr>
        <w:keepNext w:val="0"/>
        <w:keepLines w:val="0"/>
        <w:pageBreakBefore w:val="0"/>
        <w:widowControl w:val="0"/>
        <w:kinsoku/>
        <w:wordWrap/>
        <w:overflowPunct/>
        <w:topLinePunct w:val="0"/>
        <w:autoSpaceDE/>
        <w:autoSpaceDN/>
        <w:bidi w:val="0"/>
        <w:adjustRightInd/>
        <w:snapToGrid/>
        <w:spacing w:line="560" w:lineRule="exact"/>
        <w:ind w:left="638" w:leftChars="304"/>
        <w:textAlignment w:val="auto"/>
        <w:rPr>
          <w:rFonts w:hint="eastAsia" w:ascii="仿宋_GB2312" w:hAnsi="仿宋_GB2312" w:eastAsia="仿宋_GB2312" w:cs="仿宋_GB2312"/>
          <w:kern w:val="0"/>
          <w:sz w:val="32"/>
          <w:szCs w:val="32"/>
        </w:rPr>
      </w:pPr>
    </w:p>
    <w:p w14:paraId="25CE5F38">
      <w:pPr>
        <w:rPr>
          <w:rFonts w:hint="eastAsia" w:ascii="仿宋_GB2312" w:hAnsi="宋体" w:eastAsia="仿宋_GB2312"/>
          <w:sz w:val="32"/>
          <w:szCs w:val="32"/>
          <w:highlight w:val="none"/>
          <w:lang w:eastAsia="zh-CN"/>
        </w:rPr>
      </w:pPr>
    </w:p>
    <w:p w14:paraId="0AEC0D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2"/>
          <w:szCs w:val="32"/>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113B2D4-FD9F-4B47-969F-735FE3A05321}"/>
  </w:font>
  <w:font w:name="黑体">
    <w:panose1 w:val="02010609060101010101"/>
    <w:charset w:val="86"/>
    <w:family w:val="auto"/>
    <w:pitch w:val="default"/>
    <w:sig w:usb0="800002BF" w:usb1="38CF7CFA" w:usb2="00000016" w:usb3="00000000" w:csb0="00040001" w:csb1="00000000"/>
    <w:embedRegular r:id="rId2" w:fontKey="{84A4F69B-9967-4032-8EAA-160B9F6D084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B7653840-6C02-4B26-AFFF-4D3CB50B9C24}"/>
  </w:font>
  <w:font w:name="方正小标宋简体">
    <w:panose1 w:val="02000000000000000000"/>
    <w:charset w:val="86"/>
    <w:family w:val="auto"/>
    <w:pitch w:val="default"/>
    <w:sig w:usb0="00000001" w:usb1="08000000" w:usb2="00000000" w:usb3="00000000" w:csb0="00040000" w:csb1="00000000"/>
    <w:embedRegular r:id="rId4" w:fontKey="{BCB57F2B-ED7E-4705-A85E-25E05C1D123F}"/>
  </w:font>
  <w:font w:name="仿宋_GB2312">
    <w:panose1 w:val="02010609030101010101"/>
    <w:charset w:val="86"/>
    <w:family w:val="modern"/>
    <w:pitch w:val="default"/>
    <w:sig w:usb0="00000001" w:usb1="080E0000" w:usb2="00000000" w:usb3="00000000" w:csb0="00040000" w:csb1="00000000"/>
    <w:embedRegular r:id="rId5" w:fontKey="{FDE7AC68-5309-4C84-93C1-968B4D15E441}"/>
  </w:font>
  <w:font w:name="Wingdings 2">
    <w:panose1 w:val="05020102010507070707"/>
    <w:charset w:val="02"/>
    <w:family w:val="decorative"/>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5911B"/>
    <w:multiLevelType w:val="singleLevel"/>
    <w:tmpl w:val="AA25911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zMDdjM2U3NWQzY2QxOGRhOTJiYmFlZjk4YTBkZWYifQ=="/>
  </w:docVars>
  <w:rsids>
    <w:rsidRoot w:val="66A5156F"/>
    <w:rsid w:val="00276E22"/>
    <w:rsid w:val="00477974"/>
    <w:rsid w:val="004B5668"/>
    <w:rsid w:val="00BA5515"/>
    <w:rsid w:val="00BD03D6"/>
    <w:rsid w:val="00C8058C"/>
    <w:rsid w:val="00ED507B"/>
    <w:rsid w:val="00EF78BB"/>
    <w:rsid w:val="014114BE"/>
    <w:rsid w:val="033B2D4D"/>
    <w:rsid w:val="05280493"/>
    <w:rsid w:val="072B1A7F"/>
    <w:rsid w:val="07416529"/>
    <w:rsid w:val="08000B99"/>
    <w:rsid w:val="089759FF"/>
    <w:rsid w:val="08EF5276"/>
    <w:rsid w:val="09415030"/>
    <w:rsid w:val="0958397C"/>
    <w:rsid w:val="0E16716D"/>
    <w:rsid w:val="100B6988"/>
    <w:rsid w:val="11F8418B"/>
    <w:rsid w:val="1277619B"/>
    <w:rsid w:val="133F7BDB"/>
    <w:rsid w:val="1944481D"/>
    <w:rsid w:val="19FB79C0"/>
    <w:rsid w:val="1EEA7B34"/>
    <w:rsid w:val="1FA4023A"/>
    <w:rsid w:val="20583D4D"/>
    <w:rsid w:val="205B4367"/>
    <w:rsid w:val="249C24E7"/>
    <w:rsid w:val="26DA19E7"/>
    <w:rsid w:val="29CD6BC3"/>
    <w:rsid w:val="2B0D0BAD"/>
    <w:rsid w:val="2D93105A"/>
    <w:rsid w:val="3360005B"/>
    <w:rsid w:val="336A4F53"/>
    <w:rsid w:val="343A7C25"/>
    <w:rsid w:val="3494238C"/>
    <w:rsid w:val="3B5D6952"/>
    <w:rsid w:val="3D28585B"/>
    <w:rsid w:val="3D535C90"/>
    <w:rsid w:val="3E8553FD"/>
    <w:rsid w:val="3EDC4938"/>
    <w:rsid w:val="40DA19A4"/>
    <w:rsid w:val="44643EB7"/>
    <w:rsid w:val="45B61089"/>
    <w:rsid w:val="47B91FF5"/>
    <w:rsid w:val="4A21726A"/>
    <w:rsid w:val="4B1B0EFB"/>
    <w:rsid w:val="4B73483C"/>
    <w:rsid w:val="4C0B3CC2"/>
    <w:rsid w:val="4D183358"/>
    <w:rsid w:val="4E645577"/>
    <w:rsid w:val="4E9920D9"/>
    <w:rsid w:val="50A306AA"/>
    <w:rsid w:val="551B797E"/>
    <w:rsid w:val="599327FF"/>
    <w:rsid w:val="59F32E2B"/>
    <w:rsid w:val="5FDB0883"/>
    <w:rsid w:val="63730E90"/>
    <w:rsid w:val="651177D9"/>
    <w:rsid w:val="651A30E6"/>
    <w:rsid w:val="66A5156F"/>
    <w:rsid w:val="66BB0169"/>
    <w:rsid w:val="66C27892"/>
    <w:rsid w:val="6D9A2052"/>
    <w:rsid w:val="6DE91105"/>
    <w:rsid w:val="6E9C2F0A"/>
    <w:rsid w:val="748B17C0"/>
    <w:rsid w:val="76FC637C"/>
    <w:rsid w:val="77EA6BAE"/>
    <w:rsid w:val="79AE2972"/>
    <w:rsid w:val="7DD37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1"/>
    <w:autoRedefine/>
    <w:qFormat/>
    <w:uiPriority w:val="0"/>
    <w:pPr>
      <w:tabs>
        <w:tab w:val="center" w:pos="4153"/>
        <w:tab w:val="right" w:pos="8306"/>
      </w:tabs>
      <w:snapToGrid w:val="0"/>
      <w:jc w:val="left"/>
    </w:pPr>
    <w:rPr>
      <w:sz w:val="18"/>
      <w:szCs w:val="18"/>
    </w:rPr>
  </w:style>
  <w:style w:type="paragraph" w:styleId="5">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character" w:styleId="9">
    <w:name w:val="Strong"/>
    <w:basedOn w:val="8"/>
    <w:autoRedefine/>
    <w:qFormat/>
    <w:uiPriority w:val="0"/>
    <w:rPr>
      <w:b/>
    </w:rPr>
  </w:style>
  <w:style w:type="character" w:customStyle="1" w:styleId="10">
    <w:name w:val="页眉 Char"/>
    <w:basedOn w:val="8"/>
    <w:link w:val="5"/>
    <w:autoRedefine/>
    <w:qFormat/>
    <w:uiPriority w:val="0"/>
    <w:rPr>
      <w:kern w:val="2"/>
      <w:sz w:val="18"/>
      <w:szCs w:val="18"/>
    </w:rPr>
  </w:style>
  <w:style w:type="character" w:customStyle="1" w:styleId="11">
    <w:name w:val="页脚 Char"/>
    <w:basedOn w:val="8"/>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cd388dc3-d9f7-446d-8e47-292f58241ee6</errorID>
      <errorWord>.</errorWord>
      <group>L1_Word</group>
      <groupName>字词问题</groupName>
      <ability>L2_Typo</ability>
      <abilityName>字词错误</abilityName>
      <candidateList>
        <item>.在</item>
      </candidateList>
      <explain/>
      <paraID>4A3C3665</paraID>
      <start>1</start>
      <end>3</end>
      <status>modified</status>
      <modifiedWord>.在</modifiedWord>
      <trackRevisions>false</trackRevisions>
    </reviewItem>
  </reviewItems>
  <config/>
</contractReview>
</file>

<file path=customXml/itemProps1.xml><?xml version="1.0" encoding="utf-8"?>
<ds:datastoreItem xmlns:ds="http://schemas.openxmlformats.org/officeDocument/2006/customXml" ds:itemID="{01fa02d3-d6dc-47b3-bc73-5025d2ac5ba6}">
  <ds:schemaRefs/>
</ds:datastoreItem>
</file>

<file path=docProps/app.xml><?xml version="1.0" encoding="utf-8"?>
<Properties xmlns="http://schemas.openxmlformats.org/officeDocument/2006/extended-properties" xmlns:vt="http://schemas.openxmlformats.org/officeDocument/2006/docPropsVTypes">
  <Template>Normal</Template>
  <Pages>6</Pages>
  <Words>4648</Words>
  <Characters>4825</Characters>
  <Lines>10</Lines>
  <Paragraphs>2</Paragraphs>
  <TotalTime>7</TotalTime>
  <ScaleCrop>false</ScaleCrop>
  <LinksUpToDate>false</LinksUpToDate>
  <CharactersWithSpaces>4900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2021-09-27T09:49:00Z</dcterms:created>
  <dc:creator>ssc</dc:creator>
  <cp:lastModifiedBy>锐思</cp:lastModifiedBy>
  <cp:lastPrinted>2026-08-05T01:30:00Z</cp:lastPrinted>
  <dcterms:modified xsi:type="dcterms:W3CDTF">2026-08-05T09:51:47Z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5E24F22F90A647A7A19EC00AEB108544_13</vt:lpwstr>
  </property>
  <property fmtid="{D5CDD505-2E9C-101B-9397-08002B2CF9AE}" pid="4" name="KSOTemplateDocerSaveRecord">
    <vt:lpwstr>eyJoZGlkIjoiYTI3MjM3OTY3ZWYzMWViZDcyMGM4NWIyODJiZDcyYTEiLCJ1c2VySWQiOiI2MjI0NjM1MjkifQ==</vt:lpwstr>
  </property>
</Properties>
</file>