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30AB">
      <w:pPr>
        <w:rPr>
          <w:rFonts w:hint="default" w:eastAsia="宋体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</w:t>
      </w:r>
    </w:p>
    <w:p w14:paraId="5DAD42F0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Cs/>
          <w:sz w:val="44"/>
          <w:szCs w:val="44"/>
          <w:highlight w:val="none"/>
        </w:rPr>
        <w:t>龙岩</w:t>
      </w:r>
      <w:r>
        <w:rPr>
          <w:rFonts w:hint="eastAsia" w:ascii="方正小标宋简体" w:eastAsia="方正小标宋简体"/>
          <w:bCs/>
          <w:sz w:val="44"/>
          <w:szCs w:val="44"/>
          <w:highlight w:val="none"/>
          <w:lang w:val="en-US" w:eastAsia="zh-CN"/>
        </w:rPr>
        <w:t>市投资开发</w:t>
      </w:r>
      <w:r>
        <w:rPr>
          <w:rFonts w:hint="eastAsia" w:ascii="方正小标宋简体" w:eastAsia="方正小标宋简体"/>
          <w:bCs/>
          <w:sz w:val="44"/>
          <w:szCs w:val="44"/>
          <w:highlight w:val="none"/>
        </w:rPr>
        <w:t>集团有限公司</w:t>
      </w:r>
    </w:p>
    <w:p w14:paraId="1A785B02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sz w:val="44"/>
          <w:szCs w:val="44"/>
          <w:highlight w:val="none"/>
          <w:lang w:val="en-US" w:eastAsia="zh-CN"/>
        </w:rPr>
        <w:t>2026年度中期票据</w:t>
      </w:r>
      <w:r>
        <w:rPr>
          <w:rFonts w:hint="eastAsia" w:ascii="方正小标宋简体" w:eastAsia="方正小标宋简体"/>
          <w:bCs/>
          <w:sz w:val="44"/>
          <w:szCs w:val="44"/>
          <w:highlight w:val="none"/>
        </w:rPr>
        <w:t>比选报价函</w:t>
      </w:r>
    </w:p>
    <w:bookmarkEnd w:id="0"/>
    <w:p w14:paraId="24948F8F">
      <w:pPr>
        <w:spacing w:line="360" w:lineRule="auto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龙岩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市投资开发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集团有限公司：</w:t>
      </w:r>
    </w:p>
    <w:p w14:paraId="625B2F8E">
      <w:pPr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我司对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贵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司发行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中期票据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报价如下：</w:t>
      </w:r>
    </w:p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2551"/>
        <w:gridCol w:w="4253"/>
      </w:tblGrid>
      <w:tr w14:paraId="612E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1552B7F5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 w14:paraId="7EC15232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项目</w:t>
            </w:r>
          </w:p>
        </w:tc>
        <w:tc>
          <w:tcPr>
            <w:tcW w:w="2551" w:type="dxa"/>
            <w:noWrap w:val="0"/>
            <w:vAlign w:val="center"/>
          </w:tcPr>
          <w:p w14:paraId="5F7AA869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报价</w:t>
            </w:r>
          </w:p>
        </w:tc>
        <w:tc>
          <w:tcPr>
            <w:tcW w:w="4253" w:type="dxa"/>
            <w:noWrap w:val="0"/>
            <w:vAlign w:val="center"/>
          </w:tcPr>
          <w:p w14:paraId="2D03AF59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备注</w:t>
            </w:r>
          </w:p>
        </w:tc>
      </w:tr>
      <w:tr w14:paraId="398C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534" w:type="dxa"/>
            <w:noWrap w:val="0"/>
            <w:vAlign w:val="center"/>
          </w:tcPr>
          <w:p w14:paraId="3B678E42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1</w:t>
            </w:r>
          </w:p>
        </w:tc>
        <w:tc>
          <w:tcPr>
            <w:tcW w:w="1559" w:type="dxa"/>
            <w:noWrap w:val="0"/>
            <w:vAlign w:val="center"/>
          </w:tcPr>
          <w:p w14:paraId="32B01A83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承销费率</w:t>
            </w:r>
          </w:p>
        </w:tc>
        <w:tc>
          <w:tcPr>
            <w:tcW w:w="2551" w:type="dxa"/>
            <w:noWrap w:val="0"/>
            <w:vAlign w:val="center"/>
          </w:tcPr>
          <w:p w14:paraId="15D3F2A2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‰/年</w:t>
            </w:r>
          </w:p>
        </w:tc>
        <w:tc>
          <w:tcPr>
            <w:tcW w:w="4253" w:type="dxa"/>
            <w:noWrap w:val="0"/>
            <w:vAlign w:val="center"/>
          </w:tcPr>
          <w:p w14:paraId="47F9856F">
            <w:pPr>
              <w:spacing w:line="560" w:lineRule="exact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承销费以年化率/千分比进行报价；承销费有效报价区间为0.5‰/年-1.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‰/年（含0.5‰及1.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‰、超出作废）</w:t>
            </w:r>
          </w:p>
        </w:tc>
      </w:tr>
      <w:tr w14:paraId="775C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534" w:type="dxa"/>
            <w:noWrap w:val="0"/>
            <w:vAlign w:val="center"/>
          </w:tcPr>
          <w:p w14:paraId="11E6E455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 w14:paraId="7B65DF61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承销费用支付方式</w:t>
            </w:r>
          </w:p>
        </w:tc>
        <w:tc>
          <w:tcPr>
            <w:tcW w:w="2551" w:type="dxa"/>
            <w:noWrap w:val="0"/>
            <w:vAlign w:val="center"/>
          </w:tcPr>
          <w:p w14:paraId="3DC8CFD3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  <w:t xml:space="preserve">同  意   </w:t>
            </w:r>
            <w:r>
              <w:rPr>
                <w:rFonts w:ascii="Wingdings 2" w:hAnsi="Wingdings 2" w:eastAsia="仿宋_GB2312" w:cs="Wingdings 2"/>
                <w:sz w:val="32"/>
                <w:szCs w:val="32"/>
                <w:highlight w:val="none"/>
                <w:u w:val="single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  <w:t xml:space="preserve">  </w:t>
            </w:r>
          </w:p>
          <w:p w14:paraId="1CA08691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  <w:t xml:space="preserve">不 同 意 </w:t>
            </w:r>
            <w:r>
              <w:rPr>
                <w:rFonts w:ascii="Wingdings 2" w:hAnsi="Wingdings 2" w:eastAsia="仿宋_GB2312" w:cs="Wingdings 2"/>
                <w:sz w:val="32"/>
                <w:szCs w:val="32"/>
                <w:highlight w:val="none"/>
                <w:u w:val="single"/>
              </w:rPr>
              <w:sym w:font="Wingdings 2" w:char="00A3"/>
            </w:r>
          </w:p>
        </w:tc>
        <w:tc>
          <w:tcPr>
            <w:tcW w:w="4253" w:type="dxa"/>
            <w:noWrap w:val="0"/>
            <w:vAlign w:val="center"/>
          </w:tcPr>
          <w:p w14:paraId="34C9D8B0">
            <w:pPr>
              <w:spacing w:line="560" w:lineRule="exact"/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highlight w:val="none"/>
              </w:rPr>
              <w:t>发行期限含权情况下，固定承销费是否分期支付</w:t>
            </w:r>
          </w:p>
        </w:tc>
      </w:tr>
      <w:tr w14:paraId="1847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34" w:type="dxa"/>
            <w:noWrap w:val="0"/>
            <w:vAlign w:val="center"/>
          </w:tcPr>
          <w:p w14:paraId="0C075DD6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3</w:t>
            </w:r>
          </w:p>
        </w:tc>
        <w:tc>
          <w:tcPr>
            <w:tcW w:w="1559" w:type="dxa"/>
            <w:noWrap w:val="0"/>
            <w:vAlign w:val="center"/>
          </w:tcPr>
          <w:p w14:paraId="7A65B54A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发行规模</w:t>
            </w:r>
          </w:p>
        </w:tc>
        <w:tc>
          <w:tcPr>
            <w:tcW w:w="2551" w:type="dxa"/>
            <w:noWrap w:val="0"/>
            <w:vAlign w:val="center"/>
          </w:tcPr>
          <w:p w14:paraId="2A5EDF05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亿元</w:t>
            </w:r>
          </w:p>
        </w:tc>
        <w:tc>
          <w:tcPr>
            <w:tcW w:w="4253" w:type="dxa"/>
            <w:noWrap w:val="0"/>
            <w:vAlign w:val="center"/>
          </w:tcPr>
          <w:p w14:paraId="39A45684">
            <w:pPr>
              <w:spacing w:line="560" w:lineRule="exact"/>
              <w:jc w:val="lef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5219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34" w:type="dxa"/>
            <w:noWrap w:val="0"/>
            <w:vAlign w:val="center"/>
          </w:tcPr>
          <w:p w14:paraId="04FC7D60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  <w:tc>
          <w:tcPr>
            <w:tcW w:w="1559" w:type="dxa"/>
            <w:noWrap w:val="0"/>
            <w:vAlign w:val="center"/>
          </w:tcPr>
          <w:p w14:paraId="034CC7E2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发行期限</w:t>
            </w:r>
          </w:p>
        </w:tc>
        <w:tc>
          <w:tcPr>
            <w:tcW w:w="2551" w:type="dxa"/>
            <w:noWrap w:val="0"/>
            <w:vAlign w:val="center"/>
          </w:tcPr>
          <w:p w14:paraId="07566919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年</w:t>
            </w:r>
          </w:p>
        </w:tc>
        <w:tc>
          <w:tcPr>
            <w:tcW w:w="4253" w:type="dxa"/>
            <w:noWrap w:val="0"/>
            <w:vAlign w:val="center"/>
          </w:tcPr>
          <w:p w14:paraId="4D17C6FD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49E47281">
      <w:pPr>
        <w:jc w:val="left"/>
        <w:rPr>
          <w:rFonts w:hint="default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eastAsia="zh-CN"/>
        </w:rPr>
        <w:t>注：</w:t>
      </w:r>
      <w:r>
        <w:rPr>
          <w:rFonts w:hint="eastAsia" w:ascii="仿宋_GB2312" w:hAnsi="宋体" w:eastAsia="仿宋_GB2312" w:cs="宋体"/>
          <w:sz w:val="28"/>
          <w:szCs w:val="28"/>
          <w:highlight w:val="none"/>
        </w:rPr>
        <w:t>递交本报价函视为同意附件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sz w:val="28"/>
          <w:szCs w:val="28"/>
          <w:highlight w:val="none"/>
        </w:rPr>
        <w:t>方案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eastAsia="zh-CN"/>
        </w:rPr>
        <w:t>的</w:t>
      </w:r>
      <w:r>
        <w:rPr>
          <w:rFonts w:hint="eastAsia" w:ascii="仿宋_GB2312" w:hAnsi="宋体" w:eastAsia="仿宋_GB2312" w:cs="宋体"/>
          <w:sz w:val="28"/>
          <w:szCs w:val="28"/>
          <w:highlight w:val="none"/>
        </w:rPr>
        <w:t>内容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eastAsia="zh-CN"/>
        </w:rPr>
        <w:t>。</w:t>
      </w:r>
    </w:p>
    <w:p w14:paraId="00397833">
      <w:pPr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联系人：</w:t>
      </w:r>
    </w:p>
    <w:p w14:paraId="52C47950">
      <w:pPr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地  址：</w:t>
      </w:r>
    </w:p>
    <w:p w14:paraId="6B2DF818">
      <w:pPr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电  话：</w:t>
      </w:r>
    </w:p>
    <w:p w14:paraId="4FC3E262">
      <w:pPr>
        <w:ind w:firstLine="3360" w:firstLineChars="105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公司（公章）</w:t>
      </w:r>
    </w:p>
    <w:p w14:paraId="7974AAFE">
      <w:pPr>
        <w:ind w:firstLine="640" w:firstLineChars="200"/>
        <w:jc w:val="right"/>
        <w:rPr>
          <w:rFonts w:hint="eastAsia" w:ascii="仿宋_GB2312" w:hAnsi="宋体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年     月    日</w:t>
      </w:r>
    </w:p>
    <w:p w14:paraId="10F8B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0EB35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01D4140-A56B-41CC-AB1D-0050D74312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57F266E-280D-4799-AABC-FAF68A5E48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1FCC57E-DCD0-492C-A2E3-FE02375052D9}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  <w:embedRegular r:id="rId4" w:fontKey="{F8CE2E35-4E8D-4EF0-B1CB-51DD38B56B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C512C"/>
    <w:rsid w:val="360C512C"/>
    <w:rsid w:val="3A53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2026-08-05T09:45:00Z</dcterms:created>
  <dc:creator>锐思</dc:creator>
  <cp:lastModifiedBy>锐思</cp:lastModifiedBy>
  <dcterms:modified xsi:type="dcterms:W3CDTF">2026-08-05T09:47:09Z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4BD82F31E4ED4E268328F2749EF40DD2_11</vt:lpwstr>
  </property>
  <property fmtid="{D5CDD505-2E9C-101B-9397-08002B2CF9AE}" pid="4" name="KSOTemplateDocerSaveRecord">
    <vt:lpwstr>eyJoZGlkIjoiYTI3MjM3OTY3ZWYzMWViZDcyMGM4NWIyODJiZDcyYTEiLCJ1c2VySWQiOiI2MjI0NjM1MjkifQ==</vt:lpwstr>
  </property>
</Properties>
</file>