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龙岩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投资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发展集团有限公司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2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定向债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务融资工具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（PPN）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highlight w:val="none"/>
        </w:rPr>
        <w:t>比选报价函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龙岩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发展集团有限公司：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我司对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司发行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定向债务融资工具（PPN）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报价如下：</w:t>
      </w:r>
    </w:p>
    <w:tbl>
      <w:tblPr>
        <w:tblStyle w:val="2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报价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‰/年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承销费以年化率/千分比进行报价；承销费有效报价区间为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‰/年，（含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eastAsia="zh-CN"/>
              </w:rPr>
              <w:t>同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eastAsia="zh-CN"/>
              </w:rPr>
              <w:t>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仿宋_GB2312" w:cs="Wingdings 2"/>
                <w:sz w:val="32"/>
                <w:szCs w:val="32"/>
                <w:highlight w:val="none"/>
                <w:u w:val="single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不 同 意 </w:t>
            </w:r>
            <w:r>
              <w:rPr>
                <w:rFonts w:hint="default" w:ascii="Wingdings 2" w:hAnsi="Wingdings 2" w:eastAsia="仿宋_GB2312" w:cs="Wingdings 2"/>
                <w:sz w:val="32"/>
                <w:szCs w:val="32"/>
                <w:highlight w:val="none"/>
                <w:u w:val="single"/>
                <w:lang w:eastAsia="zh-CN"/>
              </w:rPr>
              <w:sym w:font="Wingdings 2" w:char="00A3"/>
            </w:r>
          </w:p>
        </w:tc>
        <w:tc>
          <w:tcPr>
            <w:tcW w:w="449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发行期限含权情况下，固定承销费是否分期支付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年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递交本报价函视为同意附件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方案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内容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地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0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 月    日</w:t>
      </w:r>
    </w:p>
    <w:p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07DAE0-D3EB-495C-BA9B-656AE380CF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66B2A9-A150-40B7-81AE-18E2A298B7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4F51B5-28AF-4B20-9687-88DC7DF4D1B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252C99AA-F09E-45FB-8311-F5A0A2F124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e3490b7a-0b6c-45ba-bdc4-29246403e0e3"/>
  </w:docVars>
  <w:rsids>
    <w:rsidRoot w:val="2C593259"/>
    <w:rsid w:val="2C593259"/>
    <w:rsid w:val="3A5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2024-05-13T08:37:00Z</dcterms:created>
  <dc:creator>钟洋宇</dc:creator>
  <cp:lastModifiedBy>钟洋宇</cp:lastModifiedBy>
  <dcterms:modified xsi:type="dcterms:W3CDTF">2024-05-13T08:38:08Z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263026C05B894486A20AF73C5C2EA34D</vt:lpwstr>
  </property>
</Properties>
</file>